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47A557">
      <w:pPr>
        <w:keepNext w:val="0"/>
        <w:keepLines w:val="0"/>
        <w:pageBreakBefore w:val="0"/>
        <w:widowControl w:val="0"/>
        <w:kinsoku/>
        <w:wordWrap/>
        <w:overflowPunct/>
        <w:topLinePunct w:val="0"/>
        <w:autoSpaceDE/>
        <w:autoSpaceDN/>
        <w:bidi w:val="0"/>
        <w:adjustRightInd/>
        <w:snapToGrid/>
        <w:spacing w:after="0" w:line="580" w:lineRule="exact"/>
        <w:ind w:left="0" w:leftChars="0"/>
        <w:jc w:val="center"/>
        <w:textAlignment w:val="auto"/>
        <w:rPr>
          <w:rFonts w:hint="eastAsia" w:ascii="方正小标宋简体" w:hAnsi="方正小标宋简体" w:eastAsia="方正小标宋简体" w:cs="方正小标宋简体"/>
          <w:sz w:val="44"/>
          <w:szCs w:val="44"/>
          <w14:ligatures w14:val="none"/>
        </w:rPr>
      </w:pPr>
      <w:bookmarkStart w:id="0" w:name="OLE_LINK2"/>
      <w:r>
        <w:rPr>
          <w:rFonts w:hint="eastAsia" w:ascii="方正小标宋简体" w:hAnsi="方正小标宋简体" w:eastAsia="方正小标宋简体" w:cs="方正小标宋简体"/>
          <w:sz w:val="44"/>
          <w:szCs w:val="44"/>
          <w14:ligatures w14:val="none"/>
        </w:rPr>
        <w:t>关于发布《河北工业大学202</w:t>
      </w:r>
      <w:r>
        <w:rPr>
          <w:rFonts w:hint="eastAsia" w:ascii="方正小标宋简体" w:hAnsi="方正小标宋简体" w:eastAsia="方正小标宋简体" w:cs="方正小标宋简体"/>
          <w:sz w:val="44"/>
          <w:szCs w:val="44"/>
          <w:lang w:val="en-US" w:eastAsia="zh-CN"/>
          <w14:ligatures w14:val="none"/>
        </w:rPr>
        <w:t>6</w:t>
      </w:r>
      <w:r>
        <w:rPr>
          <w:rFonts w:hint="eastAsia" w:ascii="方正小标宋简体" w:hAnsi="方正小标宋简体" w:eastAsia="方正小标宋简体" w:cs="方正小标宋简体"/>
          <w:sz w:val="44"/>
          <w:szCs w:val="44"/>
          <w14:ligatures w14:val="none"/>
        </w:rPr>
        <w:t>年度实验室安全专项检查工作方案》的通知</w:t>
      </w:r>
    </w:p>
    <w:p w14:paraId="7287A981">
      <w:pPr>
        <w:keepNext w:val="0"/>
        <w:keepLines w:val="0"/>
        <w:pageBreakBefore w:val="0"/>
        <w:widowControl w:val="0"/>
        <w:kinsoku/>
        <w:wordWrap/>
        <w:overflowPunct/>
        <w:topLinePunct w:val="0"/>
        <w:autoSpaceDE/>
        <w:autoSpaceDN/>
        <w:bidi w:val="0"/>
        <w:adjustRightInd/>
        <w:snapToGrid/>
        <w:spacing w:after="0" w:line="580" w:lineRule="exact"/>
        <w:ind w:left="0" w:leftChars="0"/>
        <w:jc w:val="both"/>
        <w:textAlignment w:val="auto"/>
        <w:rPr>
          <w:rFonts w:hint="eastAsia" w:ascii="仿宋_GB2312" w:hAnsi="Times New Roman" w:eastAsia="仿宋_GB2312" w:cs="Times New Roman"/>
          <w:sz w:val="28"/>
          <w:szCs w:val="28"/>
          <w14:ligatures w14:val="none"/>
        </w:rPr>
      </w:pPr>
    </w:p>
    <w:p w14:paraId="3AB9546A">
      <w:pPr>
        <w:keepNext w:val="0"/>
        <w:keepLines w:val="0"/>
        <w:pageBreakBefore w:val="0"/>
        <w:widowControl w:val="0"/>
        <w:kinsoku/>
        <w:wordWrap/>
        <w:overflowPunct/>
        <w:topLinePunct w:val="0"/>
        <w:autoSpaceDE/>
        <w:autoSpaceDN/>
        <w:bidi w:val="0"/>
        <w:adjustRightInd/>
        <w:snapToGrid/>
        <w:spacing w:after="0" w:line="580" w:lineRule="exact"/>
        <w:ind w:left="0" w:leftChars="0"/>
        <w:jc w:val="both"/>
        <w:textAlignment w:val="auto"/>
        <w:rPr>
          <w:rFonts w:hint="eastAsia" w:ascii="仿宋_GB2312" w:hAnsi="仿宋_GB2312" w:eastAsia="仿宋_GB2312" w:cs="仿宋_GB2312"/>
          <w:sz w:val="32"/>
          <w:szCs w:val="32"/>
          <w14:ligatures w14:val="none"/>
        </w:rPr>
      </w:pPr>
      <w:bookmarkStart w:id="1" w:name="OLE_LINK1"/>
      <w:bookmarkStart w:id="2" w:name="OLE_LINK3"/>
      <w:r>
        <w:rPr>
          <w:rFonts w:hint="eastAsia" w:ascii="仿宋_GB2312" w:hAnsi="仿宋_GB2312" w:eastAsia="仿宋_GB2312" w:cs="仿宋_GB2312"/>
          <w:sz w:val="32"/>
          <w:szCs w:val="32"/>
          <w14:ligatures w14:val="none"/>
        </w:rPr>
        <w:t>校内各</w:t>
      </w:r>
      <w:r>
        <w:rPr>
          <w:rFonts w:hint="eastAsia" w:ascii="仿宋_GB2312" w:hAnsi="仿宋_GB2312" w:eastAsia="仿宋_GB2312" w:cs="仿宋_GB2312"/>
          <w:sz w:val="32"/>
          <w:szCs w:val="32"/>
          <w:lang w:val="en-US" w:eastAsia="zh-CN"/>
          <w14:ligatures w14:val="none"/>
        </w:rPr>
        <w:t>相关</w:t>
      </w:r>
      <w:r>
        <w:rPr>
          <w:rFonts w:hint="eastAsia" w:ascii="仿宋_GB2312" w:hAnsi="仿宋_GB2312" w:eastAsia="仿宋_GB2312" w:cs="仿宋_GB2312"/>
          <w:sz w:val="32"/>
          <w:szCs w:val="32"/>
          <w14:ligatures w14:val="none"/>
        </w:rPr>
        <w:t>单位、部门：</w:t>
      </w:r>
    </w:p>
    <w:p w14:paraId="308532F9">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为贯彻落实党的二十大</w:t>
      </w:r>
      <w:r>
        <w:rPr>
          <w:rFonts w:hint="eastAsia" w:ascii="仿宋_GB2312" w:hAnsi="仿宋_GB2312" w:eastAsia="仿宋_GB2312" w:cs="仿宋_GB2312"/>
          <w:sz w:val="32"/>
          <w:szCs w:val="32"/>
          <w:lang w:val="en-US" w:eastAsia="zh-CN"/>
          <w14:ligatures w14:val="none"/>
        </w:rPr>
        <w:t>和二十届历次全会</w:t>
      </w:r>
      <w:r>
        <w:rPr>
          <w:rFonts w:hint="eastAsia" w:ascii="仿宋_GB2312" w:hAnsi="仿宋_GB2312" w:eastAsia="仿宋_GB2312" w:cs="仿宋_GB2312"/>
          <w:sz w:val="32"/>
          <w:szCs w:val="32"/>
          <w14:ligatures w14:val="none"/>
        </w:rPr>
        <w:t>精神，按照党中央、国务院关于安全生产工作的决策部署，确保我校实验室安全有序运行，保障广大师生人身安全和校园稳定，根据</w:t>
      </w:r>
      <w:bookmarkStart w:id="3" w:name="_Hlk167090615"/>
      <w:r>
        <w:rPr>
          <w:rFonts w:hint="eastAsia" w:ascii="仿宋_GB2312" w:hAnsi="仿宋_GB2312" w:eastAsia="仿宋_GB2312" w:cs="仿宋_GB2312"/>
          <w:sz w:val="32"/>
          <w:szCs w:val="32"/>
          <w14:ligatures w14:val="none"/>
        </w:rPr>
        <w:t>《教育部办公厅关于做好202</w:t>
      </w:r>
      <w:r>
        <w:rPr>
          <w:rFonts w:hint="eastAsia" w:ascii="仿宋_GB2312" w:hAnsi="仿宋_GB2312" w:eastAsia="仿宋_GB2312" w:cs="仿宋_GB2312"/>
          <w:sz w:val="32"/>
          <w:szCs w:val="32"/>
          <w:lang w:val="en-US" w:eastAsia="zh-CN"/>
          <w14:ligatures w14:val="none"/>
        </w:rPr>
        <w:t>6</w:t>
      </w:r>
      <w:r>
        <w:rPr>
          <w:rFonts w:hint="eastAsia" w:ascii="仿宋_GB2312" w:hAnsi="仿宋_GB2312" w:eastAsia="仿宋_GB2312" w:cs="仿宋_GB2312"/>
          <w:sz w:val="32"/>
          <w:szCs w:val="32"/>
          <w14:ligatures w14:val="none"/>
        </w:rPr>
        <w:t>年度高等学校实验室安全工作的通知》</w:t>
      </w:r>
      <w:bookmarkEnd w:id="3"/>
      <w:r>
        <w:rPr>
          <w:rFonts w:hint="eastAsia" w:ascii="仿宋_GB2312" w:hAnsi="仿宋_GB2312" w:eastAsia="仿宋_GB2312" w:cs="仿宋_GB2312"/>
          <w:sz w:val="32"/>
          <w:szCs w:val="32"/>
          <w14:ligatures w14:val="none"/>
        </w:rPr>
        <w:t>(教科信厅函〔202</w:t>
      </w:r>
      <w:r>
        <w:rPr>
          <w:rFonts w:hint="eastAsia" w:ascii="仿宋_GB2312" w:hAnsi="仿宋_GB2312" w:eastAsia="仿宋_GB2312" w:cs="仿宋_GB2312"/>
          <w:sz w:val="32"/>
          <w:szCs w:val="32"/>
          <w:lang w:val="en-US" w:eastAsia="zh-CN"/>
          <w14:ligatures w14:val="none"/>
        </w:rPr>
        <w:t>6</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8</w:t>
      </w:r>
      <w:r>
        <w:rPr>
          <w:rFonts w:hint="eastAsia" w:ascii="仿宋_GB2312" w:hAnsi="仿宋_GB2312" w:eastAsia="仿宋_GB2312" w:cs="仿宋_GB2312"/>
          <w:sz w:val="32"/>
          <w:szCs w:val="32"/>
          <w14:ligatures w14:val="none"/>
        </w:rPr>
        <w:t>号)</w:t>
      </w:r>
      <w:r>
        <w:rPr>
          <w:rFonts w:hint="eastAsia" w:ascii="仿宋_GB2312" w:hAnsi="仿宋_GB2312" w:eastAsia="仿宋_GB2312" w:cs="仿宋_GB2312"/>
          <w:sz w:val="32"/>
          <w:szCs w:val="32"/>
          <w:lang w:val="en-US" w:eastAsia="zh-CN"/>
          <w14:ligatures w14:val="none"/>
        </w:rPr>
        <w:t>和《河北省教育厅关于做好2026年度高等学校实验室安全工作的通知》</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冀教高函</w:t>
      </w:r>
      <w:r>
        <w:rPr>
          <w:rFonts w:hint="eastAsia" w:ascii="仿宋_GB2312" w:hAnsi="仿宋_GB2312" w:eastAsia="仿宋_GB2312" w:cs="仿宋_GB2312"/>
          <w:sz w:val="32"/>
          <w:szCs w:val="32"/>
          <w14:ligatures w14:val="none"/>
        </w:rPr>
        <w:t>〔202</w:t>
      </w:r>
      <w:r>
        <w:rPr>
          <w:rFonts w:hint="eastAsia" w:ascii="仿宋_GB2312" w:hAnsi="仿宋_GB2312" w:eastAsia="仿宋_GB2312" w:cs="仿宋_GB2312"/>
          <w:sz w:val="32"/>
          <w:szCs w:val="32"/>
          <w:lang w:val="en-US" w:eastAsia="zh-CN"/>
          <w14:ligatures w14:val="none"/>
        </w:rPr>
        <w:t>6</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23</w:t>
      </w:r>
      <w:r>
        <w:rPr>
          <w:rFonts w:hint="eastAsia" w:ascii="仿宋_GB2312" w:hAnsi="仿宋_GB2312" w:eastAsia="仿宋_GB2312" w:cs="仿宋_GB2312"/>
          <w:sz w:val="32"/>
          <w:szCs w:val="32"/>
          <w14:ligatures w14:val="none"/>
        </w:rPr>
        <w:t>号)文件要求，</w:t>
      </w:r>
      <w:r>
        <w:rPr>
          <w:rFonts w:hint="eastAsia" w:ascii="仿宋_GB2312" w:hAnsi="仿宋_GB2312" w:eastAsia="仿宋_GB2312" w:cs="仿宋_GB2312"/>
          <w:sz w:val="32"/>
          <w:szCs w:val="32"/>
          <w:lang w:val="en-US" w:eastAsia="zh-CN"/>
          <w14:ligatures w14:val="none"/>
        </w:rPr>
        <w:t>制定了</w:t>
      </w:r>
      <w:r>
        <w:rPr>
          <w:rFonts w:hint="eastAsia" w:ascii="仿宋_GB2312" w:hAnsi="仿宋_GB2312" w:eastAsia="仿宋_GB2312" w:cs="仿宋_GB2312"/>
          <w:sz w:val="32"/>
          <w:szCs w:val="32"/>
          <w14:ligatures w14:val="none"/>
        </w:rPr>
        <w:t>《河北工业大学202</w:t>
      </w:r>
      <w:r>
        <w:rPr>
          <w:rFonts w:hint="eastAsia" w:ascii="仿宋_GB2312" w:hAnsi="仿宋_GB2312" w:eastAsia="仿宋_GB2312" w:cs="仿宋_GB2312"/>
          <w:sz w:val="32"/>
          <w:szCs w:val="32"/>
          <w:lang w:val="en-US" w:eastAsia="zh-CN"/>
          <w14:ligatures w14:val="none"/>
        </w:rPr>
        <w:t>6</w:t>
      </w:r>
      <w:r>
        <w:rPr>
          <w:rFonts w:hint="eastAsia" w:ascii="仿宋_GB2312" w:hAnsi="仿宋_GB2312" w:eastAsia="仿宋_GB2312" w:cs="仿宋_GB2312"/>
          <w:sz w:val="32"/>
          <w:szCs w:val="32"/>
          <w14:ligatures w14:val="none"/>
        </w:rPr>
        <w:t>年度实验室安全专项检查工作方案》，</w:t>
      </w:r>
      <w:r>
        <w:rPr>
          <w:rFonts w:hint="eastAsia" w:ascii="仿宋_GB2312" w:hAnsi="仿宋_GB2312" w:eastAsia="仿宋_GB2312" w:cs="仿宋_GB2312"/>
          <w:sz w:val="32"/>
          <w:szCs w:val="32"/>
          <w:lang w:val="en-US" w:eastAsia="zh-CN"/>
          <w14:ligatures w14:val="none"/>
        </w:rPr>
        <w:t>现予以发布，</w:t>
      </w:r>
      <w:r>
        <w:rPr>
          <w:rFonts w:hint="eastAsia" w:ascii="仿宋_GB2312" w:hAnsi="仿宋_GB2312" w:eastAsia="仿宋_GB2312" w:cs="仿宋_GB2312"/>
          <w:sz w:val="32"/>
          <w:szCs w:val="32"/>
          <w14:ligatures w14:val="none"/>
        </w:rPr>
        <w:t>具体如下：</w:t>
      </w:r>
    </w:p>
    <w:p w14:paraId="23C83AAD">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黑体" w:hAnsi="黑体" w:eastAsia="黑体" w:cs="黑体"/>
          <w:sz w:val="32"/>
          <w:szCs w:val="32"/>
          <w14:ligatures w14:val="none"/>
        </w:rPr>
      </w:pPr>
      <w:r>
        <w:rPr>
          <w:rFonts w:hint="eastAsia" w:ascii="仿宋_GB2312" w:hAnsi="仿宋_GB2312" w:eastAsia="仿宋_GB2312" w:cs="仿宋_GB2312"/>
          <w:sz w:val="32"/>
          <w:szCs w:val="32"/>
          <w:lang w:val="en-US" w:eastAsia="zh-CN"/>
          <w14:ligatures w14:val="none"/>
        </w:rPr>
        <w:t>一、</w:t>
      </w:r>
      <w:r>
        <w:rPr>
          <w:rFonts w:hint="eastAsia" w:ascii="黑体" w:hAnsi="黑体" w:eastAsia="黑体" w:cs="黑体"/>
          <w:sz w:val="32"/>
          <w:szCs w:val="32"/>
          <w14:ligatures w14:val="none"/>
        </w:rPr>
        <w:t>总体要求</w:t>
      </w:r>
    </w:p>
    <w:p w14:paraId="6CA0D458">
      <w:pPr>
        <w:keepNext w:val="0"/>
        <w:keepLines w:val="0"/>
        <w:pageBreakBefore w:val="0"/>
        <w:widowControl/>
        <w:suppressLineNumbers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bookmarkStart w:id="4" w:name="OLE_LINK4"/>
      <w:r>
        <w:rPr>
          <w:rFonts w:hint="eastAsia" w:ascii="仿宋_GB2312" w:hAnsi="仿宋_GB2312" w:eastAsia="仿宋_GB2312" w:cs="仿宋_GB2312"/>
          <w:sz w:val="32"/>
          <w:szCs w:val="32"/>
          <w:lang w:eastAsia="zh-CN"/>
          <w14:ligatures w14:val="none"/>
        </w:rPr>
        <w:t>各相关单位、部门要高度重视2026年实验室安全专项检查工作，提高政治站位，深刻认识抓好实验室安全工作的极端重要性，树牢安全发展理念，守牢安全底线红线。党政主要负责人作为第一责任人，必须严格落实“党政同责、一岗双责、齐抓共管、失职追责”及“三管三必须”要求，将安全管理责任落实到岗到人，打通安全责任“最后一公里”。</w:t>
      </w:r>
      <w:r>
        <w:rPr>
          <w:rFonts w:hint="eastAsia" w:ascii="仿宋_GB2312" w:hAnsi="仿宋_GB2312" w:eastAsia="仿宋_GB2312" w:cs="仿宋_GB2312"/>
          <w:sz w:val="32"/>
          <w:szCs w:val="32"/>
          <w:lang w:val="en-US" w:eastAsia="zh-CN"/>
          <w14:ligatures w14:val="none"/>
        </w:rPr>
        <w:t>针</w:t>
      </w:r>
      <w:r>
        <w:rPr>
          <w:rFonts w:hint="eastAsia" w:ascii="仿宋_GB2312" w:hAnsi="仿宋_GB2312" w:eastAsia="仿宋_GB2312" w:cs="仿宋_GB2312"/>
          <w:sz w:val="32"/>
          <w:szCs w:val="32"/>
          <w:lang w:eastAsia="zh-CN"/>
          <w14:ligatures w14:val="none"/>
        </w:rPr>
        <w:t>对共建共管实验室，要明确牵头主体，厘清责任边界，</w:t>
      </w:r>
      <w:r>
        <w:rPr>
          <w:rFonts w:hint="eastAsia" w:ascii="仿宋_GB2312" w:hAnsi="仿宋_GB2312" w:eastAsia="仿宋_GB2312" w:cs="仿宋_GB2312"/>
          <w:sz w:val="32"/>
          <w:szCs w:val="32"/>
          <w:lang w:val="en-US" w:eastAsia="zh-CN"/>
          <w14:ligatures w14:val="none"/>
        </w:rPr>
        <w:t>杜绝监管盲区。</w:t>
      </w:r>
      <w:r>
        <w:rPr>
          <w:rFonts w:hint="eastAsia" w:ascii="仿宋_GB2312" w:hAnsi="仿宋_GB2312" w:eastAsia="仿宋_GB2312" w:cs="仿宋_GB2312"/>
          <w:sz w:val="32"/>
          <w:szCs w:val="32"/>
          <w:lang w:eastAsia="zh-CN"/>
          <w14:ligatures w14:val="none"/>
        </w:rPr>
        <w:t>同时，健全实验室安全管理体系，</w:t>
      </w:r>
      <w:r>
        <w:rPr>
          <w:rFonts w:hint="eastAsia" w:ascii="仿宋_GB2312" w:hAnsi="仿宋_GB2312" w:eastAsia="仿宋_GB2312" w:cs="仿宋_GB2312"/>
          <w:sz w:val="32"/>
          <w:szCs w:val="32"/>
          <w:lang w:val="en-US" w:eastAsia="zh-CN"/>
          <w14:ligatures w14:val="none"/>
        </w:rPr>
        <w:t>对标教育部最新要求，</w:t>
      </w:r>
      <w:r>
        <w:rPr>
          <w:rFonts w:hint="eastAsia" w:ascii="仿宋_GB2312" w:hAnsi="仿宋_GB2312" w:eastAsia="仿宋_GB2312" w:cs="仿宋_GB2312"/>
          <w:sz w:val="32"/>
          <w:szCs w:val="32"/>
          <w:lang w:eastAsia="zh-CN"/>
          <w14:ligatures w14:val="none"/>
        </w:rPr>
        <w:t>及时修订完善安全分级分类、隐患排查整改、安全教育准入、风险评估管控、应急管理预案等制度文件，确保</w:t>
      </w:r>
      <w:r>
        <w:rPr>
          <w:rFonts w:hint="eastAsia" w:ascii="仿宋_GB2312" w:hAnsi="仿宋_GB2312" w:eastAsia="仿宋_GB2312" w:cs="仿宋_GB2312"/>
          <w:sz w:val="32"/>
          <w:szCs w:val="32"/>
          <w:lang w:val="en-US" w:eastAsia="zh-CN"/>
          <w14:ligatures w14:val="none"/>
        </w:rPr>
        <w:t>各项工作</w:t>
      </w:r>
      <w:r>
        <w:rPr>
          <w:rFonts w:hint="eastAsia" w:ascii="仿宋_GB2312" w:hAnsi="仿宋_GB2312" w:eastAsia="仿宋_GB2312" w:cs="仿宋_GB2312"/>
          <w:sz w:val="32"/>
          <w:szCs w:val="32"/>
          <w:lang w:eastAsia="zh-CN"/>
          <w14:ligatures w14:val="none"/>
        </w:rPr>
        <w:t>有章可循。</w:t>
      </w:r>
      <w:r>
        <w:rPr>
          <w:rFonts w:hint="eastAsia" w:ascii="仿宋_GB2312" w:hAnsi="仿宋_GB2312" w:eastAsia="仿宋_GB2312" w:cs="仿宋_GB2312"/>
          <w:sz w:val="32"/>
          <w:szCs w:val="32"/>
          <w:lang w:val="en-US" w:eastAsia="zh-CN"/>
          <w14:ligatures w14:val="none"/>
        </w:rPr>
        <w:t>另外要做</w:t>
      </w:r>
      <w:r>
        <w:rPr>
          <w:rFonts w:hint="eastAsia" w:ascii="仿宋_GB2312" w:hAnsi="仿宋_GB2312" w:eastAsia="仿宋_GB2312" w:cs="仿宋_GB2312"/>
          <w:sz w:val="32"/>
          <w:szCs w:val="32"/>
          <w:lang w:eastAsia="zh-CN"/>
          <w14:ligatures w14:val="none"/>
        </w:rPr>
        <w:t>好新工艺、新兴交叉领域及“一校多区、一院多址”等特殊情况的风险防控工作，</w:t>
      </w:r>
      <w:r>
        <w:rPr>
          <w:rFonts w:hint="eastAsia" w:ascii="仿宋_GB2312" w:hAnsi="仿宋_GB2312" w:eastAsia="仿宋_GB2312" w:cs="仿宋_GB2312"/>
          <w:sz w:val="32"/>
          <w:szCs w:val="32"/>
          <w:lang w:val="en-US" w:eastAsia="zh-CN"/>
          <w14:ligatures w14:val="none"/>
        </w:rPr>
        <w:t>提升精细化治理水平，</w:t>
      </w:r>
      <w:r>
        <w:rPr>
          <w:rFonts w:hint="eastAsia" w:ascii="仿宋_GB2312" w:hAnsi="仿宋_GB2312" w:eastAsia="仿宋_GB2312" w:cs="仿宋_GB2312"/>
          <w:sz w:val="32"/>
          <w:szCs w:val="32"/>
          <w14:ligatures w14:val="none"/>
        </w:rPr>
        <w:t>以防范和遏制各类安全事故为目标，切实掌握防范实验室安全风险的主动权。</w:t>
      </w:r>
    </w:p>
    <w:bookmarkEnd w:id="4"/>
    <w:p w14:paraId="46F28C66">
      <w:pPr>
        <w:keepNext w:val="0"/>
        <w:keepLines w:val="0"/>
        <w:pageBreakBefore w:val="0"/>
        <w:widowControl/>
        <w:suppressLineNumbers w:val="0"/>
        <w:kinsoku/>
        <w:wordWrap/>
        <w:overflowPunct/>
        <w:topLinePunct w:val="0"/>
        <w:autoSpaceDE/>
        <w:autoSpaceDN/>
        <w:bidi w:val="0"/>
        <w:adjustRightInd/>
        <w:snapToGrid/>
        <w:spacing w:after="0" w:line="580" w:lineRule="exact"/>
        <w:ind w:firstLine="640" w:firstLineChars="200"/>
        <w:jc w:val="both"/>
        <w:textAlignment w:val="auto"/>
        <w:rPr>
          <w:rFonts w:hint="eastAsia" w:ascii="黑体" w:hAnsi="黑体" w:eastAsia="黑体" w:cs="黑体"/>
          <w:sz w:val="32"/>
          <w:szCs w:val="32"/>
          <w14:ligatures w14:val="none"/>
        </w:rPr>
      </w:pPr>
      <w:r>
        <w:rPr>
          <w:rFonts w:hint="eastAsia" w:ascii="黑体" w:hAnsi="黑体" w:eastAsia="黑体" w:cs="黑体"/>
          <w:sz w:val="32"/>
          <w:szCs w:val="32"/>
          <w:lang w:val="en-US" w:eastAsia="zh-CN"/>
          <w14:ligatures w14:val="none"/>
        </w:rPr>
        <w:t>二</w:t>
      </w:r>
      <w:r>
        <w:rPr>
          <w:rFonts w:hint="eastAsia" w:ascii="黑体" w:hAnsi="黑体" w:eastAsia="黑体" w:cs="黑体"/>
          <w:sz w:val="32"/>
          <w:szCs w:val="32"/>
          <w14:ligatures w14:val="none"/>
        </w:rPr>
        <w:t>、工作机制</w:t>
      </w:r>
    </w:p>
    <w:p w14:paraId="7855B628">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lang w:val="en-US" w:eastAsia="zh-CN"/>
          <w14:ligatures w14:val="none"/>
        </w:rPr>
        <w:t>学校</w:t>
      </w:r>
      <w:r>
        <w:rPr>
          <w:rFonts w:hint="eastAsia" w:ascii="仿宋_GB2312" w:hAnsi="仿宋_GB2312" w:eastAsia="仿宋_GB2312" w:cs="仿宋_GB2312"/>
          <w:sz w:val="32"/>
          <w:szCs w:val="32"/>
          <w14:ligatures w14:val="none"/>
        </w:rPr>
        <w:t>成立实验室安全专项检查工作领导小组，具体统筹谋划和部署整体工作。</w:t>
      </w:r>
    </w:p>
    <w:p w14:paraId="5D1FCD89">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default"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14:ligatures w14:val="none"/>
        </w:rPr>
        <w:t>组长：</w:t>
      </w:r>
      <w:r>
        <w:rPr>
          <w:rFonts w:hint="eastAsia" w:ascii="仿宋_GB2312" w:hAnsi="仿宋_GB2312" w:eastAsia="仿宋_GB2312" w:cs="仿宋_GB2312"/>
          <w:sz w:val="32"/>
          <w:szCs w:val="32"/>
          <w:lang w:val="en-US" w:eastAsia="zh-CN"/>
          <w14:ligatures w14:val="none"/>
        </w:rPr>
        <w:t>刘炳胜</w:t>
      </w:r>
    </w:p>
    <w:p w14:paraId="08E52014">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成员：安全工作处、资产与实验室管理处</w:t>
      </w:r>
      <w:r>
        <w:rPr>
          <w:rFonts w:hint="eastAsia" w:ascii="仿宋_GB2312" w:hAnsi="仿宋_GB2312" w:eastAsia="仿宋_GB2312" w:cs="仿宋_GB2312"/>
          <w:sz w:val="32"/>
          <w:szCs w:val="32"/>
          <w:lang w:val="en-US" w:eastAsia="zh-CN"/>
          <w14:ligatures w14:val="none"/>
        </w:rPr>
        <w:t>主要负责人</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14:ligatures w14:val="none"/>
        </w:rPr>
        <w:t>各</w:t>
      </w:r>
      <w:r>
        <w:rPr>
          <w:rFonts w:hint="eastAsia" w:ascii="仿宋_GB2312" w:hAnsi="仿宋_GB2312" w:eastAsia="仿宋_GB2312" w:cs="仿宋_GB2312"/>
          <w:sz w:val="32"/>
          <w:szCs w:val="32"/>
          <w:lang w:val="en-US" w:eastAsia="zh-CN"/>
          <w14:ligatures w14:val="none"/>
        </w:rPr>
        <w:t>相关</w:t>
      </w:r>
      <w:r>
        <w:rPr>
          <w:rFonts w:hint="eastAsia" w:ascii="仿宋_GB2312" w:hAnsi="仿宋_GB2312" w:eastAsia="仿宋_GB2312" w:cs="仿宋_GB2312"/>
          <w:sz w:val="32"/>
          <w:szCs w:val="32"/>
          <w14:ligatures w14:val="none"/>
        </w:rPr>
        <w:t>单位（部门）主管</w:t>
      </w:r>
      <w:r>
        <w:rPr>
          <w:rFonts w:hint="eastAsia" w:ascii="仿宋_GB2312" w:hAnsi="仿宋_GB2312" w:eastAsia="仿宋_GB2312" w:cs="仿宋_GB2312"/>
          <w:sz w:val="32"/>
          <w:szCs w:val="32"/>
          <w:lang w:val="en-US" w:eastAsia="zh-CN"/>
          <w14:ligatures w14:val="none"/>
        </w:rPr>
        <w:t>安全的负责人</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学</w:t>
      </w:r>
      <w:r>
        <w:rPr>
          <w:rFonts w:hint="eastAsia" w:ascii="仿宋_GB2312" w:hAnsi="仿宋_GB2312" w:eastAsia="仿宋_GB2312" w:cs="仿宋_GB2312"/>
          <w:sz w:val="32"/>
          <w:szCs w:val="32"/>
          <w14:ligatures w14:val="none"/>
        </w:rPr>
        <w:t>校实验室安全督查组</w:t>
      </w:r>
      <w:r>
        <w:rPr>
          <w:rFonts w:hint="eastAsia" w:ascii="仿宋_GB2312" w:hAnsi="仿宋_GB2312" w:eastAsia="仿宋_GB2312" w:cs="仿宋_GB2312"/>
          <w:sz w:val="32"/>
          <w:szCs w:val="32"/>
          <w:lang w:val="en-US" w:eastAsia="zh-CN"/>
          <w14:ligatures w14:val="none"/>
        </w:rPr>
        <w:t>成员</w:t>
      </w:r>
      <w:r>
        <w:rPr>
          <w:rFonts w:hint="eastAsia" w:ascii="仿宋_GB2312" w:hAnsi="仿宋_GB2312" w:eastAsia="仿宋_GB2312" w:cs="仿宋_GB2312"/>
          <w:sz w:val="32"/>
          <w:szCs w:val="32"/>
          <w14:ligatures w14:val="none"/>
        </w:rPr>
        <w:t>。</w:t>
      </w:r>
    </w:p>
    <w:p w14:paraId="2376A820">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各</w:t>
      </w:r>
      <w:r>
        <w:rPr>
          <w:rFonts w:hint="eastAsia" w:ascii="仿宋_GB2312" w:hAnsi="仿宋_GB2312" w:eastAsia="仿宋_GB2312" w:cs="仿宋_GB2312"/>
          <w:sz w:val="32"/>
          <w:szCs w:val="32"/>
          <w:lang w:val="en-US" w:eastAsia="zh-CN"/>
          <w14:ligatures w14:val="none"/>
        </w:rPr>
        <w:t>相关</w:t>
      </w:r>
      <w:r>
        <w:rPr>
          <w:rFonts w:hint="eastAsia" w:ascii="仿宋_GB2312" w:hAnsi="仿宋_GB2312" w:eastAsia="仿宋_GB2312" w:cs="仿宋_GB2312"/>
          <w:sz w:val="32"/>
          <w:szCs w:val="32"/>
          <w14:ligatures w14:val="none"/>
        </w:rPr>
        <w:t>单位</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lang w:val="en-US" w:eastAsia="zh-CN"/>
          <w14:ligatures w14:val="none"/>
        </w:rPr>
        <w:t>部门</w:t>
      </w:r>
      <w:r>
        <w:rPr>
          <w:rFonts w:hint="eastAsia" w:ascii="仿宋_GB2312" w:hAnsi="仿宋_GB2312" w:eastAsia="仿宋_GB2312" w:cs="仿宋_GB2312"/>
          <w:sz w:val="32"/>
          <w:szCs w:val="32"/>
          <w14:ligatures w14:val="none"/>
        </w:rPr>
        <w:t>成立实验室安全专项检查工作组，对所辖实验室开展检查并做好整改工作。</w:t>
      </w:r>
    </w:p>
    <w:p w14:paraId="661BD4CD">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Chars="200" w:firstLine="320" w:firstLineChars="100"/>
        <w:jc w:val="both"/>
        <w:textAlignment w:val="auto"/>
        <w:rPr>
          <w:rFonts w:hint="eastAsia" w:ascii="黑体" w:hAnsi="黑体" w:eastAsia="黑体" w:cs="黑体"/>
          <w:sz w:val="32"/>
          <w:szCs w:val="32"/>
          <w:lang w:val="en-US" w:eastAsia="zh-CN"/>
          <w14:ligatures w14:val="none"/>
        </w:rPr>
      </w:pPr>
      <w:r>
        <w:rPr>
          <w:rFonts w:hint="eastAsia" w:ascii="黑体" w:hAnsi="黑体" w:eastAsia="黑体" w:cs="黑体"/>
          <w:sz w:val="32"/>
          <w:szCs w:val="32"/>
          <w:lang w:val="en-US" w:eastAsia="zh-CN"/>
          <w14:ligatures w14:val="none"/>
        </w:rPr>
        <w:t>三、工作要求</w:t>
      </w:r>
    </w:p>
    <w:p w14:paraId="54F1AAB7">
      <w:pPr>
        <w:keepNext w:val="0"/>
        <w:keepLines w:val="0"/>
        <w:pageBreakBefore w:val="0"/>
        <w:widowControl w:val="0"/>
        <w:kinsoku/>
        <w:wordWrap/>
        <w:overflowPunct/>
        <w:topLinePunct w:val="0"/>
        <w:autoSpaceDE/>
        <w:autoSpaceDN/>
        <w:bidi w:val="0"/>
        <w:adjustRightInd/>
        <w:snapToGrid/>
        <w:spacing w:after="0" w:line="580" w:lineRule="exact"/>
        <w:ind w:firstLine="640"/>
        <w:jc w:val="both"/>
        <w:textAlignment w:val="auto"/>
        <w:rPr>
          <w:rFonts w:hint="eastAsia" w:ascii="楷体_GB2312" w:hAnsi="楷体_GB2312" w:eastAsia="楷体_GB2312" w:cs="楷体_GB2312"/>
          <w:sz w:val="32"/>
          <w:szCs w:val="40"/>
          <w:lang w:val="en-US" w:eastAsia="zh-CN"/>
          <w14:ligatures w14:val="none"/>
        </w:rPr>
      </w:pPr>
      <w:r>
        <w:rPr>
          <w:rFonts w:hint="eastAsia" w:ascii="楷体_GB2312" w:hAnsi="楷体_GB2312" w:eastAsia="楷体_GB2312" w:cs="楷体_GB2312"/>
          <w:sz w:val="32"/>
          <w:szCs w:val="40"/>
          <w:lang w:val="en-US" w:eastAsia="zh-CN"/>
          <w14:ligatures w14:val="none"/>
        </w:rPr>
        <w:t>(一）开展专项风险排查</w:t>
      </w:r>
    </w:p>
    <w:p w14:paraId="5D12805E">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14:ligatures w14:val="none"/>
        </w:rPr>
        <w:t>各</w:t>
      </w:r>
      <w:r>
        <w:rPr>
          <w:rFonts w:hint="eastAsia" w:ascii="仿宋_GB2312" w:hAnsi="仿宋_GB2312" w:eastAsia="仿宋_GB2312" w:cs="仿宋_GB2312"/>
          <w:sz w:val="32"/>
          <w:szCs w:val="32"/>
          <w:lang w:val="en-US" w:eastAsia="zh-CN"/>
          <w14:ligatures w14:val="none"/>
        </w:rPr>
        <w:t>相关单位、部门参照教育部《高校实验室重要危险源主要风险清单 (试行)》（附件1）组织实验室风险排查，认真填写主要风险内容及管控措施，形成实验室重要危险源风险清单。学校根据实验室风险底数，建立校级实验室安全风险台账并动态调整，做到 “一室一表、一校一台账”。</w:t>
      </w:r>
    </w:p>
    <w:p w14:paraId="3A56DD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right="0" w:firstLine="640" w:firstLineChars="200"/>
        <w:textAlignment w:val="auto"/>
        <w:rPr>
          <w:rFonts w:hint="eastAsia" w:ascii="楷体_GB2312" w:hAnsi="楷体_GB2312" w:eastAsia="楷体_GB2312" w:cs="楷体_GB2312"/>
          <w:color w:val="auto"/>
          <w:kern w:val="2"/>
          <w:sz w:val="32"/>
          <w:szCs w:val="40"/>
          <w:lang w:val="en-US" w:eastAsia="zh-CN" w:bidi="ar-SA"/>
          <w14:ligatures w14:val="none"/>
        </w:rPr>
      </w:pPr>
      <w:r>
        <w:rPr>
          <w:rFonts w:hint="eastAsia" w:ascii="楷体_GB2312" w:hAnsi="楷体_GB2312" w:eastAsia="楷体_GB2312" w:cs="楷体_GB2312"/>
          <w:color w:val="auto"/>
          <w:kern w:val="2"/>
          <w:sz w:val="32"/>
          <w:szCs w:val="40"/>
          <w:lang w:val="en-US" w:eastAsia="zh-CN" w:bidi="ar-SA"/>
          <w14:ligatures w14:val="none"/>
        </w:rPr>
        <w:t>（二）做好分级分类管理</w:t>
      </w:r>
    </w:p>
    <w:p w14:paraId="08B687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right="0" w:firstLine="640" w:firstLineChars="200"/>
        <w:jc w:val="left"/>
        <w:textAlignment w:val="auto"/>
        <w:rPr>
          <w:rFonts w:hint="eastAsia" w:ascii="仿宋_GB2312" w:hAnsi="仿宋_GB2312" w:eastAsia="仿宋_GB2312" w:cs="仿宋_GB2312"/>
          <w:color w:val="auto"/>
          <w:kern w:val="2"/>
          <w:sz w:val="32"/>
          <w:szCs w:val="32"/>
          <w:lang w:val="en-US" w:eastAsia="zh-CN" w:bidi="ar-SA"/>
          <w14:ligatures w14:val="none"/>
        </w:rPr>
      </w:pPr>
      <w:r>
        <w:rPr>
          <w:rFonts w:hint="eastAsia" w:ascii="仿宋_GB2312" w:hAnsi="仿宋_GB2312" w:eastAsia="仿宋_GB2312" w:cs="仿宋_GB2312"/>
          <w:sz w:val="32"/>
          <w:szCs w:val="32"/>
          <w14:ligatures w14:val="none"/>
        </w:rPr>
        <w:t>各</w:t>
      </w:r>
      <w:r>
        <w:rPr>
          <w:rFonts w:hint="eastAsia" w:ascii="仿宋_GB2312" w:hAnsi="仿宋_GB2312" w:eastAsia="仿宋_GB2312" w:cs="仿宋_GB2312"/>
          <w:sz w:val="32"/>
          <w:szCs w:val="32"/>
          <w:lang w:val="en-US" w:eastAsia="zh-CN"/>
          <w14:ligatures w14:val="none"/>
        </w:rPr>
        <w:t>相关单位、部门</w:t>
      </w:r>
      <w:r>
        <w:rPr>
          <w:rFonts w:hint="eastAsia" w:ascii="仿宋_GB2312" w:hAnsi="仿宋_GB2312" w:eastAsia="仿宋_GB2312" w:cs="仿宋_GB2312"/>
          <w:color w:val="auto"/>
          <w:kern w:val="2"/>
          <w:sz w:val="32"/>
          <w:szCs w:val="32"/>
          <w:lang w:val="en-US" w:eastAsia="zh-CN" w:bidi="ar-SA"/>
          <w14:ligatures w14:val="none"/>
        </w:rPr>
        <w:t>要持续做好实验室安全分级分类工作，在实验室安全管理系统完善风险源，建立实验室安全分级分类管理台账并动态更新，对重要危险源进行严格管理。</w:t>
      </w:r>
    </w:p>
    <w:p w14:paraId="33E714A9">
      <w:pPr>
        <w:keepNext w:val="0"/>
        <w:keepLines w:val="0"/>
        <w:pageBreakBefore w:val="0"/>
        <w:widowControl w:val="0"/>
        <w:kinsoku/>
        <w:wordWrap/>
        <w:overflowPunct/>
        <w:topLinePunct w:val="0"/>
        <w:autoSpaceDE/>
        <w:autoSpaceDN/>
        <w:bidi w:val="0"/>
        <w:adjustRightInd/>
        <w:snapToGrid/>
        <w:spacing w:after="0" w:line="580" w:lineRule="exact"/>
        <w:ind w:firstLine="640"/>
        <w:jc w:val="both"/>
        <w:textAlignment w:val="auto"/>
        <w:rPr>
          <w:rFonts w:hint="eastAsia" w:ascii="楷体_GB2312" w:hAnsi="楷体_GB2312" w:eastAsia="楷体_GB2312" w:cs="楷体_GB2312"/>
          <w:sz w:val="32"/>
          <w:szCs w:val="40"/>
          <w:lang w:val="en-US" w:eastAsia="zh-CN"/>
          <w14:ligatures w14:val="none"/>
        </w:rPr>
      </w:pPr>
      <w:r>
        <w:rPr>
          <w:rFonts w:hint="eastAsia" w:ascii="楷体_GB2312" w:hAnsi="楷体_GB2312" w:eastAsia="楷体_GB2312" w:cs="楷体_GB2312"/>
          <w:sz w:val="32"/>
          <w:szCs w:val="40"/>
          <w:lang w:val="en-US" w:eastAsia="zh-CN"/>
          <w14:ligatures w14:val="none"/>
        </w:rPr>
        <w:t>（三）开展隐患自查整改</w:t>
      </w:r>
    </w:p>
    <w:p w14:paraId="1C9FF6C1">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各</w:t>
      </w:r>
      <w:r>
        <w:rPr>
          <w:rFonts w:hint="eastAsia" w:ascii="仿宋_GB2312" w:hAnsi="仿宋_GB2312" w:eastAsia="仿宋_GB2312" w:cs="仿宋_GB2312"/>
          <w:sz w:val="32"/>
          <w:szCs w:val="32"/>
          <w:lang w:val="en-US" w:eastAsia="zh-CN"/>
          <w14:ligatures w14:val="none"/>
        </w:rPr>
        <w:t>相关单位、部门</w:t>
      </w:r>
      <w:r>
        <w:rPr>
          <w:rFonts w:hint="eastAsia" w:ascii="仿宋_GB2312" w:hAnsi="仿宋_GB2312" w:eastAsia="仿宋_GB2312" w:cs="仿宋_GB2312"/>
          <w:sz w:val="32"/>
          <w:szCs w:val="32"/>
          <w14:ligatures w14:val="none"/>
        </w:rPr>
        <w:t>要精心组织，对标安全标准，制定安全检查方案</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lang w:val="en-US" w:eastAsia="zh-CN"/>
          <w14:ligatures w14:val="none"/>
        </w:rPr>
        <w:t>对照《高等学校实验室安全检查项目表 (2026 年)》以及《河北省教育厅转发教育部办公厅关于开展高等学校实验室安全隐患弱项排查工作的通知》(冀教高函 (2026) 7 号) 等文件要求，</w:t>
      </w:r>
      <w:r>
        <w:rPr>
          <w:rFonts w:hint="eastAsia" w:ascii="仿宋_GB2312" w:hAnsi="仿宋_GB2312" w:eastAsia="仿宋_GB2312" w:cs="仿宋_GB2312"/>
          <w:sz w:val="32"/>
          <w:szCs w:val="32"/>
          <w14:ligatures w14:val="none"/>
        </w:rPr>
        <w:t>组织对实验室及相关场所进行“全过程、全要素、全覆盖”排查，重点检查实验室</w:t>
      </w:r>
      <w:r>
        <w:rPr>
          <w:rFonts w:hint="eastAsia" w:ascii="仿宋_GB2312" w:hAnsi="仿宋_GB2312" w:eastAsia="仿宋_GB2312" w:cs="仿宋_GB2312"/>
          <w:sz w:val="32"/>
          <w:szCs w:val="32"/>
          <w:lang w:val="en-US" w:eastAsia="zh-CN"/>
          <w14:ligatures w14:val="none"/>
        </w:rPr>
        <w:t>危险实验项目风险评估</w:t>
      </w:r>
      <w:r>
        <w:rPr>
          <w:rFonts w:hint="eastAsia" w:ascii="仿宋_GB2312" w:hAnsi="仿宋_GB2312" w:eastAsia="仿宋_GB2312" w:cs="仿宋_GB2312"/>
          <w:sz w:val="32"/>
          <w:szCs w:val="32"/>
          <w14:ligatures w14:val="none"/>
        </w:rPr>
        <w:t>、安全</w:t>
      </w:r>
      <w:r>
        <w:rPr>
          <w:rFonts w:hint="eastAsia" w:ascii="仿宋_GB2312" w:hAnsi="仿宋_GB2312" w:eastAsia="仿宋_GB2312" w:cs="仿宋_GB2312"/>
          <w:sz w:val="32"/>
          <w:szCs w:val="32"/>
          <w:lang w:val="en-US" w:eastAsia="zh-CN"/>
          <w14:ligatures w14:val="none"/>
        </w:rPr>
        <w:t>准入和</w:t>
      </w:r>
      <w:r>
        <w:rPr>
          <w:rFonts w:hint="eastAsia" w:ascii="仿宋_GB2312" w:hAnsi="仿宋_GB2312" w:eastAsia="仿宋_GB2312" w:cs="仿宋_GB2312"/>
          <w:sz w:val="32"/>
          <w:szCs w:val="32"/>
          <w14:ligatures w14:val="none"/>
        </w:rPr>
        <w:t>教育培训情况、安全应急演练</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14:ligatures w14:val="none"/>
        </w:rPr>
        <w:t>安全检查与隐患整改情况</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lang w:val="en-US" w:eastAsia="zh-CN"/>
          <w14:ligatures w14:val="none"/>
        </w:rPr>
        <w:t>重要危险源管理</w:t>
      </w:r>
      <w:r>
        <w:rPr>
          <w:rFonts w:hint="eastAsia" w:ascii="仿宋_GB2312" w:hAnsi="仿宋_GB2312" w:eastAsia="仿宋_GB2312" w:cs="仿宋_GB2312"/>
          <w:sz w:val="32"/>
          <w:szCs w:val="32"/>
          <w14:ligatures w14:val="none"/>
        </w:rPr>
        <w:t>等内容。</w:t>
      </w:r>
    </w:p>
    <w:p w14:paraId="2ABF2990">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firstLine="640" w:firstLineChars="200"/>
        <w:jc w:val="both"/>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对自查发现的隐患建立台账，可立行立改的，立即整改并做好整改记录；短期无法整改的，制定切实可行的整改方案并明确责任人和整改时限，确保所有隐患动态清零、见底见效，所有隐患整改做到闭环管理，整改不到位坚决不销账。</w:t>
      </w:r>
    </w:p>
    <w:p w14:paraId="4BD0DF96">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jc w:val="both"/>
        <w:textAlignment w:val="auto"/>
        <w:rPr>
          <w:rFonts w:hint="eastAsia" w:ascii="黑体" w:hAnsi="黑体" w:eastAsia="黑体" w:cs="黑体"/>
          <w:sz w:val="32"/>
          <w:szCs w:val="32"/>
          <w14:ligatures w14:val="none"/>
        </w:rPr>
      </w:pPr>
      <w:r>
        <w:rPr>
          <w:rFonts w:hint="eastAsia" w:ascii="黑体" w:hAnsi="黑体" w:eastAsia="黑体" w:cs="黑体"/>
          <w:sz w:val="32"/>
          <w:szCs w:val="32"/>
          <w:lang w:val="en-US" w:eastAsia="zh-CN"/>
          <w14:ligatures w14:val="none"/>
        </w:rPr>
        <w:t>四</w:t>
      </w:r>
      <w:r>
        <w:rPr>
          <w:rFonts w:hint="eastAsia" w:ascii="黑体" w:hAnsi="黑体" w:eastAsia="黑体" w:cs="黑体"/>
          <w:sz w:val="32"/>
          <w:szCs w:val="32"/>
          <w14:ligatures w14:val="none"/>
        </w:rPr>
        <w:t>、工作安排</w:t>
      </w:r>
    </w:p>
    <w:p w14:paraId="12AEAFFB">
      <w:pPr>
        <w:keepNext w:val="0"/>
        <w:keepLines w:val="0"/>
        <w:pageBreakBefore w:val="0"/>
        <w:widowControl w:val="0"/>
        <w:kinsoku/>
        <w:wordWrap/>
        <w:overflowPunct/>
        <w:topLinePunct w:val="0"/>
        <w:autoSpaceDE/>
        <w:autoSpaceDN/>
        <w:bidi w:val="0"/>
        <w:adjustRightInd/>
        <w:snapToGrid/>
        <w:spacing w:after="0" w:line="580" w:lineRule="exact"/>
        <w:ind w:firstLine="640"/>
        <w:jc w:val="both"/>
        <w:textAlignment w:val="auto"/>
        <w:rPr>
          <w:rFonts w:hint="eastAsia" w:ascii="楷体_GB2312" w:hAnsi="楷体_GB2312" w:eastAsia="楷体_GB2312" w:cs="楷体_GB2312"/>
          <w:sz w:val="32"/>
          <w:szCs w:val="40"/>
          <w:lang w:val="en-US" w:eastAsia="zh-CN"/>
          <w14:ligatures w14:val="none"/>
        </w:rPr>
      </w:pPr>
      <w:r>
        <w:rPr>
          <w:rFonts w:hint="eastAsia" w:ascii="楷体_GB2312" w:hAnsi="楷体_GB2312" w:eastAsia="楷体_GB2312" w:cs="楷体_GB2312"/>
          <w:sz w:val="32"/>
          <w:szCs w:val="40"/>
          <w:lang w:val="en-US" w:eastAsia="zh-CN"/>
          <w14:ligatures w14:val="none"/>
        </w:rPr>
        <w:t>（一）专项风险排查和自查自纠(即日起至2026年5月30日)</w:t>
      </w:r>
    </w:p>
    <w:p w14:paraId="1AB68467">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按照要求进行部署，</w:t>
      </w:r>
      <w:r>
        <w:rPr>
          <w:rFonts w:hint="eastAsia" w:ascii="仿宋_GB2312" w:hAnsi="仿宋_GB2312" w:eastAsia="仿宋_GB2312" w:cs="仿宋_GB2312"/>
          <w:sz w:val="32"/>
          <w:szCs w:val="32"/>
          <w:lang w:val="en-US" w:eastAsia="zh-CN"/>
          <w14:ligatures w14:val="none"/>
        </w:rPr>
        <w:t>参照教育部《高校实验室重要危险源主要风险清单 (试行)》（附件1）、</w:t>
      </w:r>
      <w:r>
        <w:rPr>
          <w:rFonts w:hint="eastAsia" w:ascii="仿宋_GB2312" w:hAnsi="仿宋_GB2312" w:eastAsia="仿宋_GB2312" w:cs="仿宋_GB2312"/>
          <w:sz w:val="32"/>
          <w:szCs w:val="32"/>
          <w14:ligatures w14:val="none"/>
        </w:rPr>
        <w:t>《高等学校实验室安全检查项目表(202</w:t>
      </w:r>
      <w:r>
        <w:rPr>
          <w:rFonts w:hint="eastAsia" w:ascii="仿宋_GB2312" w:hAnsi="仿宋_GB2312" w:eastAsia="仿宋_GB2312" w:cs="仿宋_GB2312"/>
          <w:sz w:val="32"/>
          <w:szCs w:val="32"/>
          <w:lang w:val="en-US" w:eastAsia="zh-CN"/>
          <w14:ligatures w14:val="none"/>
        </w:rPr>
        <w:t>6</w:t>
      </w:r>
      <w:r>
        <w:rPr>
          <w:rFonts w:hint="eastAsia" w:ascii="仿宋_GB2312" w:hAnsi="仿宋_GB2312" w:eastAsia="仿宋_GB2312" w:cs="仿宋_GB2312"/>
          <w:sz w:val="32"/>
          <w:szCs w:val="32"/>
          <w14:ligatures w14:val="none"/>
        </w:rPr>
        <w:t>年）》（见附件</w:t>
      </w:r>
      <w:r>
        <w:rPr>
          <w:rFonts w:hint="eastAsia" w:ascii="仿宋_GB2312" w:hAnsi="仿宋_GB2312" w:eastAsia="仿宋_GB2312" w:cs="仿宋_GB2312"/>
          <w:sz w:val="32"/>
          <w:szCs w:val="32"/>
          <w:lang w:val="en-US" w:eastAsia="zh-CN"/>
          <w14:ligatures w14:val="none"/>
        </w:rPr>
        <w:t>2</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14:ligatures w14:val="none"/>
        </w:rPr>
        <w:t>结合自身实际，组织对各级各类实验室进行</w:t>
      </w:r>
      <w:r>
        <w:rPr>
          <w:rFonts w:hint="eastAsia" w:ascii="仿宋_GB2312" w:hAnsi="仿宋_GB2312" w:eastAsia="仿宋_GB2312" w:cs="仿宋_GB2312"/>
          <w:sz w:val="32"/>
          <w:szCs w:val="32"/>
          <w:lang w:val="en-US" w:eastAsia="zh-CN"/>
          <w14:ligatures w14:val="none"/>
        </w:rPr>
        <w:t>风险排查与自查</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建立实验室重要危险源风险清单（附件3），</w:t>
      </w:r>
      <w:r>
        <w:rPr>
          <w:rFonts w:hint="eastAsia" w:ascii="仿宋_GB2312" w:hAnsi="仿宋_GB2312" w:eastAsia="仿宋_GB2312" w:cs="仿宋_GB2312"/>
          <w:sz w:val="32"/>
          <w:szCs w:val="32"/>
          <w14:ligatures w14:val="none"/>
        </w:rPr>
        <w:t>确定</w:t>
      </w:r>
      <w:bookmarkStart w:id="5" w:name="_Hlk167091494"/>
      <w:r>
        <w:rPr>
          <w:rFonts w:hint="eastAsia" w:ascii="仿宋_GB2312" w:hAnsi="仿宋_GB2312" w:eastAsia="仿宋_GB2312" w:cs="仿宋_GB2312"/>
          <w:sz w:val="32"/>
          <w:szCs w:val="32"/>
          <w14:ligatures w14:val="none"/>
        </w:rPr>
        <w:t>Ⅰ</w:t>
      </w:r>
      <w:bookmarkEnd w:id="5"/>
      <w:r>
        <w:rPr>
          <w:rFonts w:hint="eastAsia" w:ascii="仿宋_GB2312" w:hAnsi="仿宋_GB2312" w:eastAsia="仿宋_GB2312" w:cs="仿宋_GB2312"/>
          <w:sz w:val="32"/>
          <w:szCs w:val="32"/>
          <w14:ligatures w14:val="none"/>
        </w:rPr>
        <w:t>级（重大风险）</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14:ligatures w14:val="none"/>
        </w:rPr>
        <w:t>Ⅱ级（高风险）实验室，填报《高等学校实验室</w:t>
      </w:r>
      <w:r>
        <w:rPr>
          <w:rFonts w:hint="eastAsia" w:ascii="仿宋_GB2312" w:hAnsi="仿宋_GB2312" w:eastAsia="仿宋_GB2312" w:cs="仿宋_GB2312"/>
          <w:sz w:val="32"/>
          <w:szCs w:val="32"/>
          <w:lang w:val="en-US" w:eastAsia="zh-CN"/>
          <w14:ligatures w14:val="none"/>
        </w:rPr>
        <w:t>安全分级分类</w:t>
      </w:r>
      <w:r>
        <w:rPr>
          <w:rFonts w:hint="eastAsia" w:ascii="仿宋_GB2312" w:hAnsi="仿宋_GB2312" w:eastAsia="仿宋_GB2312" w:cs="仿宋_GB2312"/>
          <w:sz w:val="32"/>
          <w:szCs w:val="32"/>
          <w14:ligatures w14:val="none"/>
        </w:rPr>
        <w:t>信息备案表</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lang w:val="en-US" w:eastAsia="zh-CN"/>
          <w14:ligatures w14:val="none"/>
        </w:rPr>
        <w:t>2026</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14:ligatures w14:val="none"/>
        </w:rPr>
        <w:t>》（附件</w:t>
      </w:r>
      <w:r>
        <w:rPr>
          <w:rFonts w:hint="eastAsia" w:ascii="仿宋_GB2312" w:hAnsi="仿宋_GB2312" w:eastAsia="仿宋_GB2312" w:cs="仿宋_GB2312"/>
          <w:sz w:val="32"/>
          <w:szCs w:val="32"/>
          <w:lang w:val="en-US" w:eastAsia="zh-CN"/>
          <w14:ligatures w14:val="none"/>
        </w:rPr>
        <w:t>4</w:t>
      </w:r>
      <w:r>
        <w:rPr>
          <w:rFonts w:hint="eastAsia" w:ascii="仿宋_GB2312" w:hAnsi="仿宋_GB2312" w:eastAsia="仿宋_GB2312" w:cs="仿宋_GB2312"/>
          <w:sz w:val="32"/>
          <w:szCs w:val="32"/>
          <w14:ligatures w14:val="none"/>
        </w:rPr>
        <w:t>)。</w:t>
      </w:r>
    </w:p>
    <w:p w14:paraId="62224C27">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lang w:val="en-US" w:eastAsia="zh-CN"/>
          <w14:ligatures w14:val="none"/>
        </w:rPr>
        <w:t>6</w:t>
      </w:r>
      <w:r>
        <w:rPr>
          <w:rFonts w:hint="eastAsia" w:ascii="仿宋_GB2312" w:hAnsi="仿宋_GB2312" w:eastAsia="仿宋_GB2312" w:cs="仿宋_GB2312"/>
          <w:sz w:val="32"/>
          <w:szCs w:val="32"/>
          <w14:ligatures w14:val="none"/>
        </w:rPr>
        <w:t>月</w:t>
      </w:r>
      <w:r>
        <w:rPr>
          <w:rFonts w:hint="eastAsia" w:ascii="仿宋_GB2312" w:hAnsi="仿宋_GB2312" w:eastAsia="仿宋_GB2312" w:cs="仿宋_GB2312"/>
          <w:sz w:val="32"/>
          <w:szCs w:val="32"/>
          <w:lang w:val="en-US" w:eastAsia="zh-CN"/>
          <w14:ligatures w14:val="none"/>
        </w:rPr>
        <w:t>1</w:t>
      </w:r>
      <w:r>
        <w:rPr>
          <w:rFonts w:hint="eastAsia" w:ascii="仿宋_GB2312" w:hAnsi="仿宋_GB2312" w:eastAsia="仿宋_GB2312" w:cs="仿宋_GB2312"/>
          <w:sz w:val="32"/>
          <w:szCs w:val="32"/>
          <w14:ligatures w14:val="none"/>
        </w:rPr>
        <w:t>日下午五点前，填写附件</w:t>
      </w:r>
      <w:r>
        <w:rPr>
          <w:rFonts w:hint="eastAsia" w:ascii="仿宋_GB2312" w:hAnsi="仿宋_GB2312" w:eastAsia="仿宋_GB2312" w:cs="仿宋_GB2312"/>
          <w:sz w:val="32"/>
          <w:szCs w:val="32"/>
          <w:lang w:val="en-US" w:eastAsia="zh-CN"/>
          <w14:ligatures w14:val="none"/>
        </w:rPr>
        <w:t>4</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5、6</w:t>
      </w:r>
      <w:r>
        <w:rPr>
          <w:rFonts w:hint="eastAsia" w:ascii="仿宋_GB2312" w:hAnsi="仿宋_GB2312" w:eastAsia="仿宋_GB2312" w:cs="仿宋_GB2312"/>
          <w:sz w:val="32"/>
          <w:szCs w:val="32"/>
          <w14:ligatures w14:val="none"/>
        </w:rPr>
        <w:t>纸质版加盖</w:t>
      </w:r>
      <w:r>
        <w:rPr>
          <w:rFonts w:hint="eastAsia" w:ascii="仿宋_GB2312" w:hAnsi="仿宋_GB2312" w:eastAsia="仿宋_GB2312" w:cs="仿宋_GB2312"/>
          <w:sz w:val="32"/>
          <w:szCs w:val="32"/>
          <w:lang w:val="en-US" w:eastAsia="zh-CN"/>
          <w14:ligatures w14:val="none"/>
        </w:rPr>
        <w:t>部门</w:t>
      </w:r>
      <w:r>
        <w:rPr>
          <w:rFonts w:hint="eastAsia" w:ascii="仿宋_GB2312" w:hAnsi="仿宋_GB2312" w:eastAsia="仿宋_GB2312" w:cs="仿宋_GB2312"/>
          <w:sz w:val="32"/>
          <w:szCs w:val="32"/>
          <w14:ligatures w14:val="none"/>
        </w:rPr>
        <w:t>公章交至</w:t>
      </w:r>
      <w:r>
        <w:rPr>
          <w:rFonts w:hint="eastAsia" w:ascii="仿宋_GB2312" w:hAnsi="仿宋_GB2312" w:eastAsia="仿宋_GB2312" w:cs="仿宋_GB2312"/>
          <w:sz w:val="32"/>
          <w:szCs w:val="32"/>
          <w:lang w:val="en-US" w:eastAsia="zh-CN"/>
          <w14:ligatures w14:val="none"/>
        </w:rPr>
        <w:t>体育中心225-2室</w:t>
      </w:r>
      <w:r>
        <w:rPr>
          <w:rFonts w:hint="eastAsia" w:ascii="仿宋_GB2312" w:hAnsi="仿宋_GB2312" w:eastAsia="仿宋_GB2312" w:cs="仿宋_GB2312"/>
          <w:sz w:val="32"/>
          <w:szCs w:val="32"/>
          <w14:ligatures w14:val="none"/>
        </w:rPr>
        <w:t>，电子版</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lang w:val="en-US" w:eastAsia="zh-CN"/>
          <w14:ligatures w14:val="none"/>
        </w:rPr>
        <w:t>附件3、4、5、6</w:t>
      </w:r>
      <w:r>
        <w:rPr>
          <w:rFonts w:hint="eastAsia" w:ascii="仿宋_GB2312" w:hAnsi="仿宋_GB2312" w:eastAsia="仿宋_GB2312" w:cs="仿宋_GB2312"/>
          <w:sz w:val="32"/>
          <w:szCs w:val="32"/>
          <w:lang w:eastAsia="zh-CN"/>
          <w14:ligatures w14:val="none"/>
        </w:rPr>
        <w:t>）</w:t>
      </w:r>
      <w:r>
        <w:rPr>
          <w:rFonts w:hint="eastAsia" w:ascii="仿宋_GB2312" w:hAnsi="仿宋_GB2312" w:eastAsia="仿宋_GB2312" w:cs="仿宋_GB2312"/>
          <w:sz w:val="32"/>
          <w:szCs w:val="32"/>
          <w14:ligatures w14:val="none"/>
        </w:rPr>
        <w:t>经主管实验安全工作领导同意后，以协同办公方式发送</w:t>
      </w:r>
      <w:r>
        <w:rPr>
          <w:rFonts w:hint="eastAsia" w:ascii="仿宋_GB2312" w:hAnsi="仿宋_GB2312" w:eastAsia="仿宋_GB2312" w:cs="仿宋_GB2312"/>
          <w:sz w:val="32"/>
          <w:szCs w:val="32"/>
          <w:lang w:val="en-US" w:eastAsia="zh-CN"/>
          <w14:ligatures w14:val="none"/>
        </w:rPr>
        <w:t>至</w:t>
      </w:r>
      <w:r>
        <w:rPr>
          <w:rFonts w:hint="eastAsia" w:ascii="仿宋_GB2312" w:hAnsi="仿宋_GB2312" w:eastAsia="仿宋_GB2312" w:cs="仿宋_GB2312"/>
          <w:sz w:val="32"/>
          <w:szCs w:val="32"/>
          <w14:ligatures w14:val="none"/>
        </w:rPr>
        <w:t>资产与实验室管理处代金玲。</w:t>
      </w:r>
    </w:p>
    <w:p w14:paraId="456ECD95">
      <w:pPr>
        <w:keepNext w:val="0"/>
        <w:keepLines w:val="0"/>
        <w:pageBreakBefore w:val="0"/>
        <w:widowControl w:val="0"/>
        <w:kinsoku/>
        <w:wordWrap/>
        <w:overflowPunct/>
        <w:topLinePunct w:val="0"/>
        <w:autoSpaceDE/>
        <w:autoSpaceDN/>
        <w:bidi w:val="0"/>
        <w:adjustRightInd/>
        <w:snapToGrid/>
        <w:spacing w:after="0" w:line="580" w:lineRule="exact"/>
        <w:ind w:firstLine="640"/>
        <w:jc w:val="both"/>
        <w:textAlignment w:val="auto"/>
        <w:rPr>
          <w:rFonts w:hint="eastAsia" w:ascii="楷体_GB2312" w:hAnsi="楷体_GB2312" w:eastAsia="楷体_GB2312" w:cs="楷体_GB2312"/>
          <w:sz w:val="32"/>
          <w:szCs w:val="40"/>
          <w:lang w:val="en-US" w:eastAsia="zh-CN"/>
          <w14:ligatures w14:val="none"/>
        </w:rPr>
      </w:pPr>
      <w:r>
        <w:rPr>
          <w:rFonts w:hint="eastAsia" w:ascii="楷体_GB2312" w:hAnsi="楷体_GB2312" w:eastAsia="楷体_GB2312" w:cs="楷体_GB2312"/>
          <w:sz w:val="32"/>
          <w:szCs w:val="40"/>
          <w:lang w:val="en-US" w:eastAsia="zh-CN"/>
          <w14:ligatures w14:val="none"/>
        </w:rPr>
        <w:t>（二）现场检查阶段 (2026年6月01日-6月10日)</w:t>
      </w:r>
    </w:p>
    <w:p w14:paraId="36BDC594">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学校组织检查组根据各单位自查情况开展现场检查。对于近期发生过安全事故、前期排查中发现过重大安全隐患、自查自纠工作未达到要求的单位重点检查。检查内容：院级安全责任体系、规章制度、</w:t>
      </w:r>
      <w:r>
        <w:rPr>
          <w:rFonts w:hint="eastAsia" w:ascii="仿宋_GB2312" w:hAnsi="仿宋_GB2312" w:eastAsia="仿宋_GB2312" w:cs="仿宋_GB2312"/>
          <w:sz w:val="32"/>
          <w:szCs w:val="32"/>
          <w:lang w:val="en-US" w:eastAsia="zh-CN"/>
          <w14:ligatures w14:val="none"/>
        </w:rPr>
        <w:t>实验室安全准入、</w:t>
      </w:r>
      <w:r>
        <w:rPr>
          <w:rFonts w:hint="eastAsia" w:ascii="仿宋_GB2312" w:hAnsi="仿宋_GB2312" w:eastAsia="仿宋_GB2312" w:cs="仿宋_GB2312"/>
          <w:sz w:val="32"/>
          <w:szCs w:val="32"/>
          <w14:ligatures w14:val="none"/>
        </w:rPr>
        <w:t>重要危险源管理情况、安全宣传教育情况、安全检查和整改情况</w:t>
      </w:r>
      <w:r>
        <w:rPr>
          <w:rFonts w:hint="eastAsia" w:ascii="仿宋_GB2312" w:hAnsi="仿宋_GB2312" w:eastAsia="仿宋_GB2312" w:cs="仿宋_GB2312"/>
          <w:sz w:val="32"/>
          <w:szCs w:val="32"/>
          <w:lang w:eastAsia="zh-CN"/>
          <w14:ligatures w14:val="none"/>
        </w:rPr>
        <w:t>、新工艺</w:t>
      </w:r>
      <w:r>
        <w:rPr>
          <w:rFonts w:hint="eastAsia" w:ascii="仿宋_GB2312" w:hAnsi="仿宋_GB2312" w:eastAsia="仿宋_GB2312" w:cs="仿宋_GB2312"/>
          <w:sz w:val="32"/>
          <w:szCs w:val="32"/>
          <w:lang w:val="en-US" w:eastAsia="zh-CN"/>
          <w14:ligatures w14:val="none"/>
        </w:rPr>
        <w:t>与</w:t>
      </w:r>
      <w:r>
        <w:rPr>
          <w:rFonts w:hint="eastAsia" w:ascii="仿宋_GB2312" w:hAnsi="仿宋_GB2312" w:eastAsia="仿宋_GB2312" w:cs="仿宋_GB2312"/>
          <w:sz w:val="32"/>
          <w:szCs w:val="32"/>
          <w:lang w:eastAsia="zh-CN"/>
          <w14:ligatures w14:val="none"/>
        </w:rPr>
        <w:t>新兴交叉领域、一校多区</w:t>
      </w:r>
      <w:r>
        <w:rPr>
          <w:rFonts w:hint="eastAsia" w:ascii="仿宋_GB2312" w:hAnsi="仿宋_GB2312" w:eastAsia="仿宋_GB2312" w:cs="仿宋_GB2312"/>
          <w:sz w:val="32"/>
          <w:szCs w:val="32"/>
          <w:lang w:val="en-US" w:eastAsia="zh-CN"/>
          <w14:ligatures w14:val="none"/>
        </w:rPr>
        <w:t>和</w:t>
      </w:r>
      <w:r>
        <w:rPr>
          <w:rFonts w:hint="eastAsia" w:ascii="仿宋_GB2312" w:hAnsi="仿宋_GB2312" w:eastAsia="仿宋_GB2312" w:cs="仿宋_GB2312"/>
          <w:sz w:val="32"/>
          <w:szCs w:val="32"/>
          <w:lang w:eastAsia="zh-CN"/>
          <w14:ligatures w14:val="none"/>
        </w:rPr>
        <w:t>一院多址</w:t>
      </w:r>
      <w:r>
        <w:rPr>
          <w:rFonts w:hint="eastAsia" w:ascii="仿宋_GB2312" w:hAnsi="仿宋_GB2312" w:eastAsia="仿宋_GB2312" w:cs="仿宋_GB2312"/>
          <w:sz w:val="32"/>
          <w:szCs w:val="32"/>
          <w:lang w:val="en-US" w:eastAsia="zh-CN"/>
          <w14:ligatures w14:val="none"/>
        </w:rPr>
        <w:t>的</w:t>
      </w:r>
      <w:r>
        <w:rPr>
          <w:rFonts w:hint="eastAsia" w:ascii="仿宋_GB2312" w:hAnsi="仿宋_GB2312" w:eastAsia="仿宋_GB2312" w:cs="仿宋_GB2312"/>
          <w:sz w:val="32"/>
          <w:szCs w:val="32"/>
          <w:lang w:eastAsia="zh-CN"/>
          <w14:ligatures w14:val="none"/>
        </w:rPr>
        <w:t>风险防控工作</w:t>
      </w:r>
      <w:r>
        <w:rPr>
          <w:rFonts w:hint="eastAsia" w:ascii="仿宋_GB2312" w:hAnsi="仿宋_GB2312" w:eastAsia="仿宋_GB2312" w:cs="仿宋_GB2312"/>
          <w:sz w:val="32"/>
          <w:szCs w:val="32"/>
          <w14:ligatures w14:val="none"/>
        </w:rPr>
        <w:t>等。</w:t>
      </w:r>
    </w:p>
    <w:p w14:paraId="0083B65D">
      <w:pPr>
        <w:keepNext w:val="0"/>
        <w:keepLines w:val="0"/>
        <w:pageBreakBefore w:val="0"/>
        <w:widowControl w:val="0"/>
        <w:kinsoku/>
        <w:wordWrap/>
        <w:overflowPunct/>
        <w:topLinePunct w:val="0"/>
        <w:autoSpaceDE/>
        <w:autoSpaceDN/>
        <w:bidi w:val="0"/>
        <w:adjustRightInd/>
        <w:snapToGrid/>
        <w:spacing w:after="0" w:line="580" w:lineRule="exact"/>
        <w:ind w:firstLine="640"/>
        <w:jc w:val="both"/>
        <w:textAlignment w:val="auto"/>
        <w:rPr>
          <w:rFonts w:hint="eastAsia" w:ascii="楷体_GB2312" w:hAnsi="楷体_GB2312" w:eastAsia="楷体_GB2312" w:cs="楷体_GB2312"/>
          <w:sz w:val="32"/>
          <w:szCs w:val="40"/>
          <w:lang w:val="en-US" w:eastAsia="zh-CN"/>
          <w14:ligatures w14:val="none"/>
        </w:rPr>
      </w:pPr>
      <w:r>
        <w:rPr>
          <w:rFonts w:hint="eastAsia" w:ascii="楷体_GB2312" w:hAnsi="楷体_GB2312" w:eastAsia="楷体_GB2312" w:cs="楷体_GB2312"/>
          <w:sz w:val="32"/>
          <w:szCs w:val="40"/>
          <w:lang w:val="en-US" w:eastAsia="zh-CN"/>
          <w14:ligatures w14:val="none"/>
        </w:rPr>
        <w:t>（三）整改阶段</w:t>
      </w:r>
    </w:p>
    <w:p w14:paraId="10AF7DAA">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专项检查组检查完毕后，阶段性总结此次实验室安全专项检查工作，反馈安全检查情况。对存在重大安全隐患的实验室将督促相关单位采取措施并进行限期整改。</w:t>
      </w:r>
    </w:p>
    <w:p w14:paraId="56E54364">
      <w:pPr>
        <w:keepNext w:val="0"/>
        <w:keepLines w:val="0"/>
        <w:pageBreakBefore w:val="0"/>
        <w:widowControl w:val="0"/>
        <w:kinsoku/>
        <w:wordWrap/>
        <w:overflowPunct/>
        <w:topLinePunct w:val="0"/>
        <w:autoSpaceDE/>
        <w:autoSpaceDN/>
        <w:bidi w:val="0"/>
        <w:adjustRightInd/>
        <w:snapToGrid/>
        <w:spacing w:after="0" w:line="580" w:lineRule="exact"/>
        <w:ind w:firstLine="640"/>
        <w:jc w:val="both"/>
        <w:textAlignment w:val="auto"/>
        <w:rPr>
          <w:rFonts w:hint="eastAsia" w:ascii="楷体_GB2312" w:hAnsi="楷体_GB2312" w:eastAsia="楷体_GB2312" w:cs="楷体_GB2312"/>
          <w:sz w:val="32"/>
          <w:szCs w:val="40"/>
          <w:lang w:val="en-US" w:eastAsia="zh-CN"/>
          <w14:ligatures w14:val="none"/>
        </w:rPr>
      </w:pPr>
      <w:bookmarkStart w:id="6" w:name="_GoBack"/>
      <w:r>
        <w:rPr>
          <w:rFonts w:hint="eastAsia" w:ascii="楷体_GB2312" w:hAnsi="楷体_GB2312" w:eastAsia="楷体_GB2312" w:cs="楷体_GB2312"/>
          <w:sz w:val="32"/>
          <w:szCs w:val="40"/>
          <w:lang w:val="en-US" w:eastAsia="zh-CN"/>
          <w14:ligatures w14:val="none"/>
        </w:rPr>
        <w:t>（四）“回头看”阶段</w:t>
      </w:r>
    </w:p>
    <w:bookmarkEnd w:id="6"/>
    <w:p w14:paraId="4E3A6D07">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在全校范围内组织安全检查回头看工作，重点检查隐患整改落实情况，确保安全隐患整改横向到边、纵向到底、落实到位。对于安全检查工作敷衍了事，存在风险隐患较多且整改不及时、不到位的单位，学校将对主要负责人进行约谈。</w:t>
      </w:r>
    </w:p>
    <w:p w14:paraId="4EEE955F">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黑体" w:hAnsi="黑体" w:eastAsia="黑体" w:cs="黑体"/>
          <w:sz w:val="32"/>
          <w:szCs w:val="32"/>
          <w14:ligatures w14:val="none"/>
        </w:rPr>
      </w:pPr>
      <w:r>
        <w:rPr>
          <w:rFonts w:hint="eastAsia" w:ascii="黑体" w:hAnsi="黑体" w:eastAsia="黑体" w:cs="黑体"/>
          <w:sz w:val="32"/>
          <w:szCs w:val="32"/>
          <w:lang w:val="en-US" w:eastAsia="zh-CN"/>
          <w14:ligatures w14:val="none"/>
        </w:rPr>
        <w:t>五</w:t>
      </w:r>
      <w:r>
        <w:rPr>
          <w:rFonts w:hint="eastAsia" w:ascii="黑体" w:hAnsi="黑体" w:eastAsia="黑体" w:cs="黑体"/>
          <w:sz w:val="32"/>
          <w:szCs w:val="32"/>
          <w14:ligatures w14:val="none"/>
        </w:rPr>
        <w:t>、联系方式</w:t>
      </w:r>
    </w:p>
    <w:p w14:paraId="692164BB">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r>
        <w:rPr>
          <w:rFonts w:hint="eastAsia" w:ascii="仿宋_GB2312" w:hAnsi="仿宋_GB2312" w:eastAsia="仿宋_GB2312" w:cs="仿宋_GB2312"/>
          <w:sz w:val="32"/>
          <w:szCs w:val="32"/>
          <w14:ligatures w14:val="none"/>
        </w:rPr>
        <w:t>资产与实验室管理处技术安全科：代金玲 刘香岩</w:t>
      </w:r>
    </w:p>
    <w:p w14:paraId="33E450E6">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lang w:eastAsia="zh-CN"/>
          <w14:ligatures w14:val="none"/>
        </w:rPr>
      </w:pPr>
      <w:r>
        <w:rPr>
          <w:rFonts w:hint="eastAsia" w:ascii="仿宋_GB2312" w:hAnsi="仿宋_GB2312" w:eastAsia="仿宋_GB2312" w:cs="仿宋_GB2312"/>
          <w:sz w:val="32"/>
          <w:szCs w:val="32"/>
          <w14:ligatures w14:val="none"/>
        </w:rPr>
        <w:t>联系</w:t>
      </w:r>
      <w:r>
        <w:rPr>
          <w:rFonts w:hint="eastAsia" w:ascii="仿宋_GB2312" w:hAnsi="仿宋_GB2312" w:eastAsia="仿宋_GB2312" w:cs="仿宋_GB2312"/>
          <w:sz w:val="32"/>
          <w:szCs w:val="32"/>
          <w:lang w:val="en-US" w:eastAsia="zh-CN"/>
          <w14:ligatures w14:val="none"/>
        </w:rPr>
        <w:t>方式</w:t>
      </w:r>
      <w:r>
        <w:rPr>
          <w:rFonts w:hint="eastAsia" w:ascii="仿宋_GB2312" w:hAnsi="仿宋_GB2312" w:eastAsia="仿宋_GB2312" w:cs="仿宋_GB2312"/>
          <w:sz w:val="32"/>
          <w:szCs w:val="32"/>
          <w14:ligatures w14:val="none"/>
        </w:rPr>
        <w:t>：</w:t>
      </w:r>
      <w:r>
        <w:rPr>
          <w:rFonts w:hint="eastAsia" w:ascii="仿宋_GB2312" w:hAnsi="仿宋_GB2312" w:eastAsia="仿宋_GB2312" w:cs="仿宋_GB2312"/>
          <w:sz w:val="32"/>
          <w:szCs w:val="32"/>
          <w:lang w:val="en-US" w:eastAsia="zh-CN"/>
          <w14:ligatures w14:val="none"/>
        </w:rPr>
        <w:t>WeLink</w:t>
      </w:r>
    </w:p>
    <w:p w14:paraId="59029684">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lang w:val="en-US" w:eastAsia="zh-CN"/>
          <w14:ligatures w14:val="none"/>
        </w:rPr>
      </w:pPr>
    </w:p>
    <w:p w14:paraId="67DA8F1E">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附件：1.高校实验室重要危险源主要风险清单（试行）</w:t>
      </w:r>
    </w:p>
    <w:p w14:paraId="351DD05E">
      <w:pPr>
        <w:keepNext w:val="0"/>
        <w:keepLines w:val="0"/>
        <w:pageBreakBefore w:val="0"/>
        <w:widowControl w:val="0"/>
        <w:kinsoku/>
        <w:wordWrap/>
        <w:overflowPunct/>
        <w:topLinePunct w:val="0"/>
        <w:autoSpaceDE/>
        <w:autoSpaceDN/>
        <w:bidi w:val="0"/>
        <w:adjustRightInd/>
        <w:snapToGrid/>
        <w:spacing w:after="0" w:line="580" w:lineRule="exact"/>
        <w:ind w:left="0" w:leftChars="0" w:firstLine="1600" w:firstLineChars="500"/>
        <w:jc w:val="both"/>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2.高等学校实验室安全检查项目表(2026年)</w:t>
      </w:r>
    </w:p>
    <w:p w14:paraId="6FC9DFAE">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0" w:leftChars="0" w:firstLine="1600" w:firstLineChars="500"/>
        <w:jc w:val="both"/>
        <w:textAlignment w:val="auto"/>
        <w:rPr>
          <w:rFonts w:hint="default"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3.实验室重要危险源风险清单（一室一表）</w:t>
      </w:r>
    </w:p>
    <w:p w14:paraId="4B4AFB7F">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0" w:leftChars="0" w:firstLine="1600" w:firstLineChars="500"/>
        <w:jc w:val="both"/>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4.高等学校实验室安全分级分类信息备案表（2026年）</w:t>
      </w:r>
    </w:p>
    <w:p w14:paraId="3D388526">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0" w:leftChars="0" w:firstLine="1600" w:firstLineChars="500"/>
        <w:jc w:val="both"/>
        <w:textAlignment w:val="auto"/>
        <w:rPr>
          <w:rFonts w:hint="default"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5.</w:t>
      </w:r>
      <w:r>
        <w:rPr>
          <w:rFonts w:hint="default" w:ascii="仿宋_GB2312" w:hAnsi="仿宋_GB2312" w:eastAsia="仿宋_GB2312" w:cs="仿宋_GB2312"/>
          <w:sz w:val="32"/>
          <w:szCs w:val="32"/>
          <w:lang w:val="en-US" w:eastAsia="zh-CN"/>
          <w14:ligatures w14:val="none"/>
        </w:rPr>
        <w:t>实验室安全自查自纠报告</w:t>
      </w:r>
    </w:p>
    <w:p w14:paraId="0442C4E4">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0" w:leftChars="0" w:firstLine="1600" w:firstLineChars="500"/>
        <w:jc w:val="both"/>
        <w:textAlignment w:val="auto"/>
        <w:rPr>
          <w:rFonts w:hint="default"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6.</w:t>
      </w:r>
      <w:r>
        <w:rPr>
          <w:rFonts w:hint="default" w:ascii="仿宋_GB2312" w:hAnsi="仿宋_GB2312" w:eastAsia="仿宋_GB2312" w:cs="仿宋_GB2312"/>
          <w:sz w:val="32"/>
          <w:szCs w:val="32"/>
          <w:lang w:val="en-US" w:eastAsia="zh-CN"/>
          <w14:ligatures w14:val="none"/>
        </w:rPr>
        <w:t>高等学校实验室安全隐患自查自纠汇总表（202</w:t>
      </w:r>
      <w:r>
        <w:rPr>
          <w:rFonts w:hint="eastAsia" w:ascii="仿宋_GB2312" w:hAnsi="仿宋_GB2312" w:eastAsia="仿宋_GB2312" w:cs="仿宋_GB2312"/>
          <w:sz w:val="32"/>
          <w:szCs w:val="32"/>
          <w:lang w:val="en-US" w:eastAsia="zh-CN"/>
          <w14:ligatures w14:val="none"/>
        </w:rPr>
        <w:t>6</w:t>
      </w:r>
      <w:r>
        <w:rPr>
          <w:rFonts w:hint="default" w:ascii="仿宋_GB2312" w:hAnsi="仿宋_GB2312" w:eastAsia="仿宋_GB2312" w:cs="仿宋_GB2312"/>
          <w:sz w:val="32"/>
          <w:szCs w:val="32"/>
          <w:lang w:val="en-US" w:eastAsia="zh-CN"/>
          <w14:ligatures w14:val="none"/>
        </w:rPr>
        <w:t>年）</w:t>
      </w:r>
    </w:p>
    <w:p w14:paraId="045AB85B">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0" w:leftChars="0" w:firstLine="1600" w:firstLineChars="500"/>
        <w:jc w:val="both"/>
        <w:textAlignment w:val="auto"/>
        <w:rPr>
          <w:rFonts w:hint="default" w:ascii="仿宋_GB2312" w:hAnsi="仿宋_GB2312" w:eastAsia="仿宋_GB2312" w:cs="仿宋_GB2312"/>
          <w:sz w:val="32"/>
          <w:szCs w:val="32"/>
          <w:lang w:val="en-US" w:eastAsia="zh-CN"/>
          <w14:ligatures w14:val="none"/>
        </w:rPr>
      </w:pPr>
    </w:p>
    <w:p w14:paraId="6145966A">
      <w:pPr>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jc w:val="both"/>
        <w:textAlignment w:val="auto"/>
        <w:rPr>
          <w:rFonts w:hint="eastAsia" w:ascii="仿宋_GB2312" w:hAnsi="仿宋_GB2312" w:eastAsia="仿宋_GB2312" w:cs="仿宋_GB2312"/>
          <w:sz w:val="32"/>
          <w:szCs w:val="32"/>
          <w14:ligatures w14:val="none"/>
        </w:rPr>
      </w:pPr>
    </w:p>
    <w:p w14:paraId="42260D83">
      <w:pPr>
        <w:keepNext w:val="0"/>
        <w:keepLines w:val="0"/>
        <w:pageBreakBefore w:val="0"/>
        <w:widowControl w:val="0"/>
        <w:kinsoku/>
        <w:wordWrap/>
        <w:overflowPunct/>
        <w:topLinePunct w:val="0"/>
        <w:autoSpaceDE/>
        <w:autoSpaceDN/>
        <w:bidi w:val="0"/>
        <w:adjustRightInd/>
        <w:snapToGrid/>
        <w:spacing w:after="0" w:line="580" w:lineRule="exact"/>
        <w:ind w:left="0" w:leftChars="0" w:firstLine="4160" w:firstLineChars="1300"/>
        <w:jc w:val="right"/>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资产与实验室管理处</w:t>
      </w:r>
    </w:p>
    <w:p w14:paraId="08217F28">
      <w:pPr>
        <w:keepNext w:val="0"/>
        <w:keepLines w:val="0"/>
        <w:pageBreakBefore w:val="0"/>
        <w:widowControl w:val="0"/>
        <w:kinsoku/>
        <w:wordWrap/>
        <w:overflowPunct/>
        <w:topLinePunct w:val="0"/>
        <w:autoSpaceDE/>
        <w:autoSpaceDN/>
        <w:bidi w:val="0"/>
        <w:adjustRightInd/>
        <w:snapToGrid/>
        <w:spacing w:after="0" w:line="580" w:lineRule="exact"/>
        <w:ind w:left="0" w:leftChars="0" w:firstLine="4480" w:firstLineChars="1400"/>
        <w:jc w:val="right"/>
        <w:textAlignment w:val="auto"/>
        <w:rPr>
          <w:rFonts w:hint="eastAsia" w:ascii="仿宋_GB2312" w:hAnsi="仿宋_GB2312" w:eastAsia="仿宋_GB2312" w:cs="仿宋_GB2312"/>
          <w:sz w:val="32"/>
          <w:szCs w:val="32"/>
          <w:lang w:val="en-US" w:eastAsia="zh-CN"/>
          <w14:ligatures w14:val="none"/>
        </w:rPr>
      </w:pPr>
      <w:r>
        <w:rPr>
          <w:rFonts w:hint="eastAsia" w:ascii="仿宋_GB2312" w:hAnsi="仿宋_GB2312" w:eastAsia="仿宋_GB2312" w:cs="仿宋_GB2312"/>
          <w:sz w:val="32"/>
          <w:szCs w:val="32"/>
          <w:lang w:val="en-US" w:eastAsia="zh-CN"/>
          <w14:ligatures w14:val="none"/>
        </w:rPr>
        <w:t>2026年5月15日</w:t>
      </w:r>
    </w:p>
    <w:bookmarkEnd w:id="1"/>
    <w:p w14:paraId="4DD17CFC">
      <w:pPr>
        <w:keepNext w:val="0"/>
        <w:keepLines w:val="0"/>
        <w:pageBreakBefore w:val="0"/>
        <w:widowControl w:val="0"/>
        <w:kinsoku/>
        <w:wordWrap/>
        <w:overflowPunct/>
        <w:topLinePunct w:val="0"/>
        <w:autoSpaceDE/>
        <w:autoSpaceDN/>
        <w:bidi w:val="0"/>
        <w:adjustRightInd/>
        <w:snapToGrid/>
        <w:spacing w:after="0" w:line="580" w:lineRule="exact"/>
        <w:ind w:left="0" w:leftChars="0" w:firstLine="4480" w:firstLineChars="1400"/>
        <w:jc w:val="both"/>
        <w:textAlignment w:val="auto"/>
        <w:rPr>
          <w:rFonts w:hint="eastAsia" w:ascii="仿宋_GB2312" w:hAnsi="仿宋_GB2312" w:eastAsia="仿宋_GB2312" w:cs="仿宋_GB2312"/>
          <w:sz w:val="32"/>
          <w:szCs w:val="32"/>
          <w:lang w:val="en-US" w:eastAsia="zh-CN"/>
          <w14:ligatures w14:val="none"/>
        </w:rPr>
      </w:pPr>
    </w:p>
    <w:bookmarkEnd w:id="2"/>
    <w:p w14:paraId="13A2A1F8">
      <w:pPr>
        <w:keepNext w:val="0"/>
        <w:keepLines w:val="0"/>
        <w:pageBreakBefore w:val="0"/>
        <w:widowControl w:val="0"/>
        <w:kinsoku/>
        <w:wordWrap/>
        <w:overflowPunct/>
        <w:topLinePunct w:val="0"/>
        <w:autoSpaceDE/>
        <w:autoSpaceDN/>
        <w:bidi w:val="0"/>
        <w:adjustRightInd/>
        <w:snapToGrid/>
        <w:spacing w:after="0" w:line="580" w:lineRule="exact"/>
        <w:ind w:left="0" w:leftChars="0" w:firstLine="4480" w:firstLineChars="1400"/>
        <w:jc w:val="both"/>
        <w:textAlignment w:val="auto"/>
        <w:rPr>
          <w:rFonts w:hint="eastAsia" w:ascii="仿宋_GB2312" w:hAnsi="仿宋_GB2312" w:eastAsia="仿宋_GB2312" w:cs="仿宋_GB2312"/>
          <w:sz w:val="32"/>
          <w:szCs w:val="32"/>
          <w:lang w:val="en-US" w:eastAsia="zh-CN"/>
          <w14:ligatures w14:val="none"/>
        </w:rPr>
      </w:pPr>
    </w:p>
    <w:p w14:paraId="700DB6D1">
      <w:pPr>
        <w:keepNext w:val="0"/>
        <w:keepLines w:val="0"/>
        <w:pageBreakBefore w:val="0"/>
        <w:widowControl w:val="0"/>
        <w:kinsoku/>
        <w:wordWrap/>
        <w:overflowPunct/>
        <w:topLinePunct w:val="0"/>
        <w:autoSpaceDE/>
        <w:autoSpaceDN/>
        <w:bidi w:val="0"/>
        <w:adjustRightInd/>
        <w:snapToGrid/>
        <w:spacing w:after="0" w:line="580" w:lineRule="exact"/>
        <w:ind w:left="0" w:leftChars="0" w:firstLine="4480" w:firstLineChars="1400"/>
        <w:jc w:val="both"/>
        <w:textAlignment w:val="auto"/>
        <w:rPr>
          <w:rFonts w:hint="eastAsia" w:ascii="仿宋_GB2312" w:hAnsi="仿宋_GB2312" w:eastAsia="仿宋_GB2312" w:cs="仿宋_GB2312"/>
          <w:sz w:val="32"/>
          <w:szCs w:val="32"/>
          <w:lang w:val="en-US" w:eastAsia="zh-CN"/>
          <w14:ligatures w14:val="none"/>
        </w:rPr>
      </w:pPr>
    </w:p>
    <w:bookmarkEnd w:id="0"/>
    <w:p w14:paraId="6E090DAB">
      <w:pPr>
        <w:keepNext w:val="0"/>
        <w:keepLines w:val="0"/>
        <w:pageBreakBefore w:val="0"/>
        <w:widowControl w:val="0"/>
        <w:kinsoku/>
        <w:wordWrap/>
        <w:overflowPunct/>
        <w:topLinePunct w:val="0"/>
        <w:autoSpaceDE/>
        <w:autoSpaceDN/>
        <w:bidi w:val="0"/>
        <w:adjustRightInd/>
        <w:snapToGrid/>
        <w:spacing w:after="0" w:line="580" w:lineRule="exact"/>
        <w:ind w:left="0" w:leftChars="0" w:firstLine="4480" w:firstLineChars="1400"/>
        <w:jc w:val="both"/>
        <w:textAlignment w:val="auto"/>
        <w:rPr>
          <w:rFonts w:hint="eastAsia" w:ascii="仿宋_GB2312" w:hAnsi="仿宋_GB2312" w:eastAsia="仿宋_GB2312" w:cs="仿宋_GB2312"/>
          <w:sz w:val="32"/>
          <w:szCs w:val="32"/>
          <w:lang w:val="en-US" w:eastAsia="zh-CN"/>
          <w14:ligatures w14:val="none"/>
        </w:rPr>
      </w:pPr>
    </w:p>
    <w:sectPr>
      <w:footerReference r:id="rId5" w:type="default"/>
      <w:pgSz w:w="11906" w:h="16838"/>
      <w:pgMar w:top="2154" w:right="1531" w:bottom="1871"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9C562E3-05E4-4052-90CD-DE4A889FB5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7C0F0711-6EEA-4621-A22F-BB27BF7E34C3}"/>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embedRegular r:id="rId3" w:fontKey="{AA94FEB8-A82E-4332-A9D8-6A11FFA3D697}"/>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embedRegular r:id="rId4" w:fontKey="{A81DF734-6AE8-4D29-9DD2-DC2E5FB056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67C9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posOffset>2589530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DD578">
                          <w:pPr>
                            <w:pStyle w:val="11"/>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9pt;margin-top:0pt;height:144pt;width:144pt;mso-position-horizontal-relative:margin;mso-wrap-style:none;z-index:251659264;mso-width-relative:page;mso-height-relative:page;" filled="f" stroked="f" coordsize="21600,21600" o:gfxdata="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MgRSfTFRiu0+3Zg&#10;sDfFGcSc6SfDW76pkXzLfHhgDqOAgvFYwj2WUhokMYNFSWXcl3+dx3h0CF5KGoxWTjVeEiXyvUbn&#10;ABhGw43GfjT0Ud0ZzCq6gVo6ExdckKNZOqM+4wWtYg64mObIlNMwmnehH2+8QC5Wqy7oaF19qPoL&#10;mDvLwlbvLI9ponrero4BYnYaR4F6VQbdMHldl4ZXEkf7z30X9fhnW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mew19UAAAAIAQAADwAAAAAAAAABACAAAAAiAAAAZHJzL2Rvd25yZXYueG1sUEsB&#10;AhQAFAAAAAgAh07iQGuF+fsxAgAAYQQAAA4AAAAAAAAAAQAgAAAAJAEAAGRycy9lMm9Eb2MueG1s&#10;UEsFBgAAAAAGAAYAWQEAAMcFAAAAAA==&#10;">
              <v:fill on="f" focussize="0,0"/>
              <v:stroke on="f" weight="0.5pt"/>
              <v:imagedata o:title=""/>
              <o:lock v:ext="edit" aspectratio="f"/>
              <v:textbox inset="0mm,0mm,0mm,0mm" style="mso-fit-shape-to-text:t;">
                <w:txbxContent>
                  <w:p w14:paraId="179DD578">
                    <w:pPr>
                      <w:pStyle w:val="11"/>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RjODhmYjJlYTEyYjA5MWNiOTZkZTI2OWEyN2Y3NDgifQ=="/>
  </w:docVars>
  <w:rsids>
    <w:rsidRoot w:val="00D25289"/>
    <w:rsid w:val="000133B8"/>
    <w:rsid w:val="000F1BBD"/>
    <w:rsid w:val="001008D2"/>
    <w:rsid w:val="00193240"/>
    <w:rsid w:val="001F5E1C"/>
    <w:rsid w:val="00297E10"/>
    <w:rsid w:val="002D2D40"/>
    <w:rsid w:val="003760A9"/>
    <w:rsid w:val="00405529"/>
    <w:rsid w:val="004A7CA6"/>
    <w:rsid w:val="004B5BFC"/>
    <w:rsid w:val="005C5E07"/>
    <w:rsid w:val="005E4BCD"/>
    <w:rsid w:val="006F5699"/>
    <w:rsid w:val="00716D3F"/>
    <w:rsid w:val="007A6A6B"/>
    <w:rsid w:val="009340C9"/>
    <w:rsid w:val="009873F5"/>
    <w:rsid w:val="00990A98"/>
    <w:rsid w:val="009D4898"/>
    <w:rsid w:val="009F4EC9"/>
    <w:rsid w:val="00A374E3"/>
    <w:rsid w:val="00A70923"/>
    <w:rsid w:val="00AB2635"/>
    <w:rsid w:val="00B916CB"/>
    <w:rsid w:val="00BE6BDE"/>
    <w:rsid w:val="00C20161"/>
    <w:rsid w:val="00C64984"/>
    <w:rsid w:val="00CE5B8D"/>
    <w:rsid w:val="00D25289"/>
    <w:rsid w:val="00DA75D5"/>
    <w:rsid w:val="00DB1FF3"/>
    <w:rsid w:val="00E60079"/>
    <w:rsid w:val="00ED0D5D"/>
    <w:rsid w:val="00EF441A"/>
    <w:rsid w:val="01D84234"/>
    <w:rsid w:val="02FB31EA"/>
    <w:rsid w:val="099E4EBD"/>
    <w:rsid w:val="0A576919"/>
    <w:rsid w:val="0A793FA8"/>
    <w:rsid w:val="0AD81EF7"/>
    <w:rsid w:val="0E87566C"/>
    <w:rsid w:val="0F616738"/>
    <w:rsid w:val="10CC55B8"/>
    <w:rsid w:val="11317878"/>
    <w:rsid w:val="13E375FD"/>
    <w:rsid w:val="150E2F6E"/>
    <w:rsid w:val="17C31192"/>
    <w:rsid w:val="18543150"/>
    <w:rsid w:val="1A4F595C"/>
    <w:rsid w:val="1B690438"/>
    <w:rsid w:val="1BAE088E"/>
    <w:rsid w:val="1BF97A03"/>
    <w:rsid w:val="1E6269A3"/>
    <w:rsid w:val="20803CC9"/>
    <w:rsid w:val="218D773C"/>
    <w:rsid w:val="2346106A"/>
    <w:rsid w:val="23A033E3"/>
    <w:rsid w:val="23CE2F9E"/>
    <w:rsid w:val="255567B2"/>
    <w:rsid w:val="271C5D6C"/>
    <w:rsid w:val="28671999"/>
    <w:rsid w:val="29DD751B"/>
    <w:rsid w:val="2B1940D6"/>
    <w:rsid w:val="2B3B360F"/>
    <w:rsid w:val="2E6B5FB9"/>
    <w:rsid w:val="2F052980"/>
    <w:rsid w:val="329113A6"/>
    <w:rsid w:val="33D35326"/>
    <w:rsid w:val="33F02D0D"/>
    <w:rsid w:val="347F1EE8"/>
    <w:rsid w:val="35702107"/>
    <w:rsid w:val="35BF175E"/>
    <w:rsid w:val="35F53CAB"/>
    <w:rsid w:val="38B8374A"/>
    <w:rsid w:val="39D13637"/>
    <w:rsid w:val="3B2D293B"/>
    <w:rsid w:val="3BBA40DC"/>
    <w:rsid w:val="3CB766DD"/>
    <w:rsid w:val="3CBD313A"/>
    <w:rsid w:val="40271F5C"/>
    <w:rsid w:val="40590A76"/>
    <w:rsid w:val="412D3046"/>
    <w:rsid w:val="41F050FF"/>
    <w:rsid w:val="42052A37"/>
    <w:rsid w:val="428F200F"/>
    <w:rsid w:val="444F21CD"/>
    <w:rsid w:val="447357CF"/>
    <w:rsid w:val="44A15F9D"/>
    <w:rsid w:val="44B66B65"/>
    <w:rsid w:val="44B715B0"/>
    <w:rsid w:val="45915C44"/>
    <w:rsid w:val="46CD4701"/>
    <w:rsid w:val="48357040"/>
    <w:rsid w:val="484957E5"/>
    <w:rsid w:val="4B4E3BB8"/>
    <w:rsid w:val="4CED6C22"/>
    <w:rsid w:val="4D073334"/>
    <w:rsid w:val="4E9E0474"/>
    <w:rsid w:val="4F2B22CD"/>
    <w:rsid w:val="4F4108A5"/>
    <w:rsid w:val="4F631574"/>
    <w:rsid w:val="50F6750C"/>
    <w:rsid w:val="51F20CB6"/>
    <w:rsid w:val="55B41744"/>
    <w:rsid w:val="57A85E63"/>
    <w:rsid w:val="58A15A50"/>
    <w:rsid w:val="59123B0D"/>
    <w:rsid w:val="5A7A386D"/>
    <w:rsid w:val="5AD80D3D"/>
    <w:rsid w:val="5C5E0AD5"/>
    <w:rsid w:val="5CA119A1"/>
    <w:rsid w:val="5E4C10B3"/>
    <w:rsid w:val="5FB53AFA"/>
    <w:rsid w:val="61B76844"/>
    <w:rsid w:val="62494A19"/>
    <w:rsid w:val="624D07DC"/>
    <w:rsid w:val="62574452"/>
    <w:rsid w:val="66236E97"/>
    <w:rsid w:val="68330BEE"/>
    <w:rsid w:val="699D6C67"/>
    <w:rsid w:val="6A1B289F"/>
    <w:rsid w:val="6B193C45"/>
    <w:rsid w:val="6BC07297"/>
    <w:rsid w:val="6BE23D79"/>
    <w:rsid w:val="70730722"/>
    <w:rsid w:val="711B4938"/>
    <w:rsid w:val="714845BD"/>
    <w:rsid w:val="715A71EC"/>
    <w:rsid w:val="71A066FC"/>
    <w:rsid w:val="72440EC7"/>
    <w:rsid w:val="758B6D22"/>
    <w:rsid w:val="76022B63"/>
    <w:rsid w:val="76206EFF"/>
    <w:rsid w:val="76876225"/>
    <w:rsid w:val="76941BCA"/>
    <w:rsid w:val="76BF1DF3"/>
    <w:rsid w:val="76C37D4A"/>
    <w:rsid w:val="76F1130B"/>
    <w:rsid w:val="77424D0E"/>
    <w:rsid w:val="778B00FF"/>
    <w:rsid w:val="788B3286"/>
    <w:rsid w:val="78AF777E"/>
    <w:rsid w:val="79F8703A"/>
    <w:rsid w:val="7A733C7C"/>
    <w:rsid w:val="7ABF58BA"/>
    <w:rsid w:val="7BC97448"/>
    <w:rsid w:val="7C5550C4"/>
    <w:rsid w:val="7D440B40"/>
    <w:rsid w:val="7D7C15B8"/>
    <w:rsid w:val="7F0F3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6"/>
    <w:autoRedefine/>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autoRedefine/>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autoRedefine/>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autoRedefine/>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autoRedefine/>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32"/>
    <w:autoRedefine/>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autoRedefine/>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autoRedefine/>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11">
    <w:name w:val="footer"/>
    <w:basedOn w:val="1"/>
    <w:link w:val="45"/>
    <w:autoRedefine/>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44"/>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Normal (Web)"/>
    <w:basedOn w:val="1"/>
    <w:autoRedefine/>
    <w:semiHidden/>
    <w:unhideWhenUsed/>
    <w:qFormat/>
    <w:uiPriority w:val="99"/>
    <w:pPr>
      <w:widowControl/>
      <w:spacing w:before="100" w:beforeAutospacing="1" w:after="100" w:afterAutospacing="1" w:line="240" w:lineRule="auto"/>
    </w:pPr>
    <w:rPr>
      <w:rFonts w:ascii="宋体" w:hAnsi="宋体" w:eastAsia="宋体" w:cs="宋体"/>
      <w:kern w:val="0"/>
      <w:sz w:val="24"/>
      <w14:ligatures w14:val="none"/>
    </w:rPr>
  </w:style>
  <w:style w:type="paragraph" w:styleId="15">
    <w:name w:val="Title"/>
    <w:basedOn w:val="1"/>
    <w:next w:val="1"/>
    <w:link w:val="3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8">
    <w:name w:val="Strong"/>
    <w:basedOn w:val="17"/>
    <w:qFormat/>
    <w:uiPriority w:val="22"/>
    <w:rPr>
      <w:b/>
    </w:rPr>
  </w:style>
  <w:style w:type="character" w:styleId="19">
    <w:name w:val="FollowedHyperlink"/>
    <w:basedOn w:val="17"/>
    <w:semiHidden/>
    <w:unhideWhenUsed/>
    <w:qFormat/>
    <w:uiPriority w:val="99"/>
    <w:rPr>
      <w:color w:val="2490F8"/>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Variable"/>
    <w:basedOn w:val="17"/>
    <w:semiHidden/>
    <w:unhideWhenUsed/>
    <w:qFormat/>
    <w:uiPriority w:val="99"/>
  </w:style>
  <w:style w:type="character" w:styleId="23">
    <w:name w:val="Hyperlink"/>
    <w:basedOn w:val="17"/>
    <w:semiHidden/>
    <w:unhideWhenUsed/>
    <w:qFormat/>
    <w:uiPriority w:val="99"/>
    <w:rPr>
      <w:color w:val="2490F8"/>
      <w:u w:val="none"/>
    </w:rPr>
  </w:style>
  <w:style w:type="character" w:styleId="24">
    <w:name w:val="HTML Code"/>
    <w:basedOn w:val="17"/>
    <w:semiHidden/>
    <w:unhideWhenUsed/>
    <w:qFormat/>
    <w:uiPriority w:val="99"/>
    <w:rPr>
      <w:rFonts w:ascii="微软雅黑" w:hAnsi="微软雅黑" w:eastAsia="微软雅黑" w:cs="微软雅黑"/>
      <w:sz w:val="18"/>
      <w:szCs w:val="18"/>
    </w:rPr>
  </w:style>
  <w:style w:type="character" w:styleId="25">
    <w:name w:val="HTML Cite"/>
    <w:basedOn w:val="17"/>
    <w:semiHidden/>
    <w:unhideWhenUsed/>
    <w:qFormat/>
    <w:uiPriority w:val="99"/>
  </w:style>
  <w:style w:type="character" w:customStyle="1" w:styleId="26">
    <w:name w:val="标题 1 Char"/>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Char"/>
    <w:basedOn w:val="17"/>
    <w:link w:val="3"/>
    <w:autoRedefine/>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Char"/>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Char"/>
    <w:basedOn w:val="17"/>
    <w:link w:val="5"/>
    <w:autoRedefine/>
    <w:semiHidden/>
    <w:qFormat/>
    <w:uiPriority w:val="9"/>
    <w:rPr>
      <w:rFonts w:cstheme="majorBidi"/>
      <w:color w:val="104862" w:themeColor="accent1" w:themeShade="BF"/>
      <w:sz w:val="28"/>
      <w:szCs w:val="28"/>
    </w:rPr>
  </w:style>
  <w:style w:type="character" w:customStyle="1" w:styleId="30">
    <w:name w:val="标题 5 Char"/>
    <w:basedOn w:val="17"/>
    <w:link w:val="6"/>
    <w:semiHidden/>
    <w:qFormat/>
    <w:uiPriority w:val="9"/>
    <w:rPr>
      <w:rFonts w:cstheme="majorBidi"/>
      <w:color w:val="104862" w:themeColor="accent1" w:themeShade="BF"/>
      <w:sz w:val="24"/>
    </w:rPr>
  </w:style>
  <w:style w:type="character" w:customStyle="1" w:styleId="31">
    <w:name w:val="标题 6 Char"/>
    <w:basedOn w:val="17"/>
    <w:link w:val="7"/>
    <w:autoRedefine/>
    <w:semiHidden/>
    <w:qFormat/>
    <w:uiPriority w:val="9"/>
    <w:rPr>
      <w:rFonts w:cstheme="majorBidi"/>
      <w:b/>
      <w:bCs/>
      <w:color w:val="104862" w:themeColor="accent1" w:themeShade="BF"/>
    </w:rPr>
  </w:style>
  <w:style w:type="character" w:customStyle="1" w:styleId="32">
    <w:name w:val="标题 7 Char"/>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Char"/>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Char"/>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Char"/>
    <w:basedOn w:val="17"/>
    <w:link w:val="15"/>
    <w:qFormat/>
    <w:uiPriority w:val="10"/>
    <w:rPr>
      <w:rFonts w:asciiTheme="majorHAnsi" w:hAnsiTheme="majorHAnsi" w:eastAsiaTheme="majorEastAsia" w:cstheme="majorBidi"/>
      <w:spacing w:val="-10"/>
      <w:kern w:val="28"/>
      <w:sz w:val="56"/>
      <w:szCs w:val="56"/>
    </w:rPr>
  </w:style>
  <w:style w:type="character" w:customStyle="1" w:styleId="36">
    <w:name w:val="副标题 Char"/>
    <w:basedOn w:val="17"/>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Char"/>
    <w:basedOn w:val="17"/>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Intense Emphasis"/>
    <w:basedOn w:val="17"/>
    <w:autoRedefine/>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Char"/>
    <w:basedOn w:val="17"/>
    <w:link w:val="41"/>
    <w:qFormat/>
    <w:uiPriority w:val="30"/>
    <w:rPr>
      <w:i/>
      <w:iCs/>
      <w:color w:val="104862" w:themeColor="accent1" w:themeShade="BF"/>
    </w:rPr>
  </w:style>
  <w:style w:type="character" w:customStyle="1" w:styleId="43">
    <w:name w:val="Intense Reference"/>
    <w:basedOn w:val="17"/>
    <w:autoRedefine/>
    <w:qFormat/>
    <w:uiPriority w:val="32"/>
    <w:rPr>
      <w:b/>
      <w:bCs/>
      <w:smallCaps/>
      <w:color w:val="104862" w:themeColor="accent1" w:themeShade="BF"/>
      <w:spacing w:val="5"/>
    </w:rPr>
  </w:style>
  <w:style w:type="character" w:customStyle="1" w:styleId="44">
    <w:name w:val="页眉 Char"/>
    <w:basedOn w:val="17"/>
    <w:link w:val="12"/>
    <w:autoRedefine/>
    <w:qFormat/>
    <w:uiPriority w:val="99"/>
    <w:rPr>
      <w:sz w:val="18"/>
      <w:szCs w:val="18"/>
    </w:rPr>
  </w:style>
  <w:style w:type="character" w:customStyle="1" w:styleId="45">
    <w:name w:val="页脚 Char"/>
    <w:basedOn w:val="17"/>
    <w:link w:val="11"/>
    <w:qFormat/>
    <w:uiPriority w:val="99"/>
    <w:rPr>
      <w:sz w:val="18"/>
      <w:szCs w:val="18"/>
    </w:rPr>
  </w:style>
  <w:style w:type="character" w:customStyle="1" w:styleId="46">
    <w:name w:val="cdropleft"/>
    <w:basedOn w:val="17"/>
    <w:qFormat/>
    <w:uiPriority w:val="0"/>
  </w:style>
  <w:style w:type="character" w:customStyle="1" w:styleId="47">
    <w:name w:val="ico1655"/>
    <w:basedOn w:val="17"/>
    <w:qFormat/>
    <w:uiPriority w:val="0"/>
  </w:style>
  <w:style w:type="character" w:customStyle="1" w:styleId="48">
    <w:name w:val="hilite"/>
    <w:basedOn w:val="17"/>
    <w:qFormat/>
    <w:uiPriority w:val="0"/>
    <w:rPr>
      <w:color w:val="FFFFFF"/>
      <w:shd w:val="clear" w:fill="666666"/>
    </w:rPr>
  </w:style>
  <w:style w:type="character" w:customStyle="1" w:styleId="49">
    <w:name w:val="active"/>
    <w:basedOn w:val="17"/>
    <w:qFormat/>
    <w:uiPriority w:val="0"/>
    <w:rPr>
      <w:color w:val="00FF00"/>
      <w:shd w:val="clear" w:fill="111111"/>
    </w:rPr>
  </w:style>
  <w:style w:type="character" w:customStyle="1" w:styleId="50">
    <w:name w:val="active1"/>
    <w:basedOn w:val="17"/>
    <w:qFormat/>
    <w:uiPriority w:val="0"/>
    <w:rPr>
      <w:shd w:val="clear" w:fill="EC3535"/>
    </w:rPr>
  </w:style>
  <w:style w:type="character" w:customStyle="1" w:styleId="51">
    <w:name w:val="icontext1"/>
    <w:basedOn w:val="17"/>
    <w:qFormat/>
    <w:uiPriority w:val="0"/>
  </w:style>
  <w:style w:type="character" w:customStyle="1" w:styleId="52">
    <w:name w:val="button4"/>
    <w:basedOn w:val="17"/>
    <w:qFormat/>
    <w:uiPriority w:val="0"/>
  </w:style>
  <w:style w:type="character" w:customStyle="1" w:styleId="53">
    <w:name w:val="cy"/>
    <w:basedOn w:val="17"/>
    <w:qFormat/>
    <w:uiPriority w:val="0"/>
  </w:style>
  <w:style w:type="character" w:customStyle="1" w:styleId="54">
    <w:name w:val="drapbtn"/>
    <w:basedOn w:val="17"/>
    <w:qFormat/>
    <w:uiPriority w:val="0"/>
  </w:style>
  <w:style w:type="character" w:customStyle="1" w:styleId="55">
    <w:name w:val="cdropright"/>
    <w:basedOn w:val="17"/>
    <w:qFormat/>
    <w:uiPriority w:val="0"/>
  </w:style>
  <w:style w:type="character" w:customStyle="1" w:styleId="56">
    <w:name w:val="pagechatarealistclose_box"/>
    <w:basedOn w:val="17"/>
    <w:qFormat/>
    <w:uiPriority w:val="0"/>
  </w:style>
  <w:style w:type="character" w:customStyle="1" w:styleId="57">
    <w:name w:val="pagechatarealistclose_box1"/>
    <w:basedOn w:val="17"/>
    <w:qFormat/>
    <w:uiPriority w:val="0"/>
  </w:style>
  <w:style w:type="character" w:customStyle="1" w:styleId="58">
    <w:name w:val="icontext3"/>
    <w:basedOn w:val="17"/>
    <w:qFormat/>
    <w:uiPriority w:val="0"/>
  </w:style>
  <w:style w:type="character" w:customStyle="1" w:styleId="59">
    <w:name w:val="iconline2"/>
    <w:basedOn w:val="17"/>
    <w:qFormat/>
    <w:uiPriority w:val="0"/>
  </w:style>
  <w:style w:type="character" w:customStyle="1" w:styleId="60">
    <w:name w:val="iconline21"/>
    <w:basedOn w:val="17"/>
    <w:qFormat/>
    <w:uiPriority w:val="0"/>
  </w:style>
  <w:style w:type="character" w:customStyle="1" w:styleId="61">
    <w:name w:val="icontext2"/>
    <w:basedOn w:val="17"/>
    <w:qFormat/>
    <w:uiPriority w:val="0"/>
  </w:style>
  <w:style w:type="character" w:customStyle="1" w:styleId="62">
    <w:name w:val="layui-layer-tabnow"/>
    <w:basedOn w:val="17"/>
    <w:qFormat/>
    <w:uiPriority w:val="0"/>
    <w:rPr>
      <w:bdr w:val="single" w:color="CCCCCC" w:sz="6" w:space="0"/>
      <w:shd w:val="clear" w:fill="FFFFFF"/>
    </w:rPr>
  </w:style>
  <w:style w:type="character" w:customStyle="1" w:styleId="63">
    <w:name w:val="first-child"/>
    <w:basedOn w:val="17"/>
    <w:qFormat/>
    <w:uiPriority w:val="0"/>
  </w:style>
  <w:style w:type="character" w:customStyle="1" w:styleId="64">
    <w:name w:val="tmpztreemove_arrow"/>
    <w:basedOn w:val="17"/>
    <w:qFormat/>
    <w:uiPriority w:val="0"/>
  </w:style>
  <w:style w:type="character" w:customStyle="1" w:styleId="65">
    <w:name w:val="w32"/>
    <w:basedOn w:val="17"/>
    <w:qFormat/>
    <w:uiPriority w:val="0"/>
  </w:style>
  <w:style w:type="character" w:customStyle="1" w:styleId="66">
    <w:name w:val="associateddata"/>
    <w:basedOn w:val="17"/>
    <w:qFormat/>
    <w:uiPriority w:val="0"/>
    <w:rPr>
      <w:shd w:val="clear" w:fill="50A6F9"/>
    </w:rPr>
  </w:style>
  <w:style w:type="character" w:customStyle="1" w:styleId="67">
    <w:name w:val="after"/>
    <w:basedOn w:val="17"/>
    <w:qFormat/>
    <w:uiPriority w:val="0"/>
    <w:rPr>
      <w:sz w:val="0"/>
      <w:szCs w:val="0"/>
    </w:rPr>
  </w:style>
  <w:style w:type="character" w:customStyle="1" w:styleId="68">
    <w:name w:val="hover41"/>
    <w:basedOn w:val="17"/>
    <w:qFormat/>
    <w:uiPriority w:val="0"/>
    <w:rPr>
      <w:color w:val="FFFFFF"/>
    </w:rPr>
  </w:style>
  <w:style w:type="character" w:customStyle="1" w:styleId="69">
    <w:name w:val="choosename"/>
    <w:basedOn w:val="17"/>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2103</Words>
  <Characters>2183</Characters>
  <Lines>9</Lines>
  <Paragraphs>2</Paragraphs>
  <TotalTime>24</TotalTime>
  <ScaleCrop>false</ScaleCrop>
  <LinksUpToDate>false</LinksUpToDate>
  <CharactersWithSpaces>2195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2024-05-20T01:00:00Z</dcterms:created>
  <dc:creator>A9856</dc:creator>
  <cp:lastModifiedBy>董久雪</cp:lastModifiedBy>
  <dcterms:modified xsi:type="dcterms:W3CDTF">2026-05-15T04:13:04Z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7031490651314B17A1D00991961C360F_13</vt:lpwstr>
  </property>
  <property fmtid="{D5CDD505-2E9C-101B-9397-08002B2CF9AE}" pid="4" name="KSOTemplateDocerSaveRecord">
    <vt:lpwstr>eyJoZGlkIjoiMmYzNmY5NWQzZjgyYjJiZDJkMDNhYzQ5N2M2MGRlYTAiLCJ1c2VySWQiOiIxNjI5OTM0NzQ3In0=</vt:lpwstr>
  </property>
</Properties>
</file>