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C28C5">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关于发布</w:t>
      </w:r>
      <w:r>
        <w:rPr>
          <w:rFonts w:hint="eastAsia" w:ascii="方正小标宋简体" w:hAnsi="方正小标宋简体" w:eastAsia="方正小标宋简体" w:cs="方正小标宋简体"/>
          <w:sz w:val="44"/>
          <w:szCs w:val="44"/>
        </w:rPr>
        <w:t>河北工业大学2025年资产清查</w:t>
      </w:r>
    </w:p>
    <w:p w14:paraId="19A32B4F">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实施方案</w:t>
      </w:r>
      <w:r>
        <w:rPr>
          <w:rFonts w:hint="eastAsia" w:ascii="方正小标宋简体" w:hAnsi="方正小标宋简体" w:eastAsia="方正小标宋简体" w:cs="方正小标宋简体"/>
          <w:sz w:val="44"/>
          <w:szCs w:val="44"/>
          <w:lang w:val="en-US" w:eastAsia="zh-CN"/>
        </w:rPr>
        <w:t>的通知</w:t>
      </w:r>
    </w:p>
    <w:p w14:paraId="0DCD7355">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宋体" w:eastAsia="仿宋_GB2312"/>
          <w:kern w:val="6"/>
          <w:sz w:val="32"/>
          <w:szCs w:val="32"/>
        </w:rPr>
      </w:pPr>
    </w:p>
    <w:p w14:paraId="31811492">
      <w:pPr>
        <w:keepNext w:val="0"/>
        <w:keepLines w:val="0"/>
        <w:pageBreakBefore w:val="0"/>
        <w:widowControl/>
        <w:kinsoku/>
        <w:wordWrap/>
        <w:overflowPunct/>
        <w:topLinePunct w:val="0"/>
        <w:autoSpaceDE/>
        <w:autoSpaceDN/>
        <w:bidi w:val="0"/>
        <w:adjustRightInd/>
        <w:snapToGrid/>
        <w:spacing w:line="580" w:lineRule="exact"/>
        <w:textAlignment w:val="auto"/>
        <w:rPr>
          <w:rFonts w:hint="default" w:ascii="仿宋_GB2312" w:hAnsi="宋体" w:eastAsia="仿宋_GB2312"/>
          <w:kern w:val="6"/>
          <w:sz w:val="32"/>
          <w:szCs w:val="32"/>
          <w:lang w:val="en-US" w:eastAsia="zh-CN"/>
        </w:rPr>
      </w:pPr>
      <w:r>
        <w:rPr>
          <w:rFonts w:hint="eastAsia" w:ascii="仿宋_GB2312" w:hAnsi="宋体" w:eastAsia="仿宋_GB2312"/>
          <w:kern w:val="6"/>
          <w:sz w:val="32"/>
          <w:szCs w:val="32"/>
          <w:lang w:val="en-US" w:eastAsia="zh-CN"/>
        </w:rPr>
        <w:t>校内各单位、部门：</w:t>
      </w:r>
    </w:p>
    <w:p w14:paraId="6C4071D8">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default" w:ascii="仿宋_GB2312" w:hAnsi="宋体" w:eastAsia="仿宋_GB2312"/>
          <w:kern w:val="6"/>
          <w:sz w:val="32"/>
          <w:szCs w:val="32"/>
          <w:lang w:val="en-US" w:eastAsia="zh-CN"/>
        </w:rPr>
      </w:pPr>
      <w:r>
        <w:rPr>
          <w:rFonts w:hint="eastAsia" w:ascii="仿宋_GB2312" w:hAnsi="宋体" w:eastAsia="仿宋_GB2312"/>
          <w:kern w:val="6"/>
          <w:sz w:val="32"/>
          <w:szCs w:val="32"/>
        </w:rPr>
        <w:t>根据《河北省行政事业性国有资产管理办法》（冀政发〔2023〕7号），《行政事业单位资产清查核实管理办法》（财资[</w:t>
      </w:r>
      <w:r>
        <w:rPr>
          <w:rFonts w:ascii="仿宋_GB2312" w:hAnsi="宋体" w:eastAsia="仿宋_GB2312"/>
          <w:kern w:val="6"/>
          <w:sz w:val="32"/>
          <w:szCs w:val="32"/>
        </w:rPr>
        <w:t>2016]1</w:t>
      </w:r>
      <w:r>
        <w:rPr>
          <w:rFonts w:hint="eastAsia" w:ascii="仿宋_GB2312" w:hAnsi="宋体" w:eastAsia="仿宋_GB2312"/>
          <w:kern w:val="6"/>
          <w:sz w:val="32"/>
          <w:szCs w:val="32"/>
        </w:rPr>
        <w:t>号），《河北省教育厅所属事业单位国有资产管理工作规程》(冀教资后[2020]35号</w:t>
      </w:r>
      <w:r>
        <w:rPr>
          <w:rFonts w:ascii="仿宋_GB2312" w:hAnsi="宋体" w:eastAsia="仿宋_GB2312"/>
          <w:kern w:val="6"/>
          <w:sz w:val="32"/>
          <w:szCs w:val="32"/>
        </w:rPr>
        <w:t>)</w:t>
      </w:r>
      <w:r>
        <w:rPr>
          <w:rFonts w:hint="eastAsia" w:ascii="仿宋_GB2312" w:hAnsi="宋体" w:eastAsia="仿宋_GB2312"/>
          <w:kern w:val="6"/>
          <w:sz w:val="32"/>
          <w:szCs w:val="32"/>
        </w:rPr>
        <w:t>和《河北省省级行政事业单位国有资产使用管理办法》（冀财资[</w:t>
      </w:r>
      <w:r>
        <w:rPr>
          <w:rFonts w:ascii="仿宋_GB2312" w:hAnsi="宋体" w:eastAsia="仿宋_GB2312"/>
          <w:kern w:val="6"/>
          <w:sz w:val="32"/>
          <w:szCs w:val="32"/>
        </w:rPr>
        <w:t>2024]111</w:t>
      </w:r>
      <w:r>
        <w:rPr>
          <w:rFonts w:hint="eastAsia" w:ascii="仿宋_GB2312" w:hAnsi="宋体" w:eastAsia="仿宋_GB2312"/>
          <w:kern w:val="6"/>
          <w:sz w:val="32"/>
          <w:szCs w:val="32"/>
        </w:rPr>
        <w:t>号）文件规定，结合学校实际情况，拟开展河北工业大学2</w:t>
      </w:r>
      <w:r>
        <w:rPr>
          <w:rFonts w:ascii="仿宋_GB2312" w:hAnsi="宋体" w:eastAsia="仿宋_GB2312"/>
          <w:kern w:val="6"/>
          <w:sz w:val="32"/>
          <w:szCs w:val="32"/>
        </w:rPr>
        <w:t>025</w:t>
      </w:r>
      <w:r>
        <w:rPr>
          <w:rFonts w:hint="eastAsia" w:ascii="仿宋_GB2312" w:hAnsi="宋体" w:eastAsia="仿宋_GB2312"/>
          <w:kern w:val="6"/>
          <w:sz w:val="32"/>
          <w:szCs w:val="32"/>
        </w:rPr>
        <w:t>年国有资产清查工作</w:t>
      </w:r>
      <w:r>
        <w:rPr>
          <w:rFonts w:hint="eastAsia" w:ascii="仿宋_GB2312" w:hAnsi="宋体" w:eastAsia="仿宋_GB2312"/>
          <w:kern w:val="6"/>
          <w:sz w:val="32"/>
          <w:szCs w:val="32"/>
          <w:lang w:eastAsia="zh-CN"/>
        </w:rPr>
        <w:t>，</w:t>
      </w:r>
      <w:r>
        <w:rPr>
          <w:rFonts w:hint="eastAsia" w:ascii="仿宋_GB2312" w:hAnsi="宋体" w:eastAsia="仿宋_GB2312"/>
          <w:kern w:val="6"/>
          <w:sz w:val="32"/>
          <w:szCs w:val="32"/>
          <w:lang w:val="en-US" w:eastAsia="zh-CN"/>
        </w:rPr>
        <w:t>实施方案具体通知如下：</w:t>
      </w:r>
    </w:p>
    <w:p w14:paraId="0F6A1B11">
      <w:pPr>
        <w:pStyle w:val="9"/>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kern w:val="6"/>
          <w:sz w:val="32"/>
          <w:szCs w:val="32"/>
        </w:rPr>
      </w:pPr>
      <w:r>
        <w:rPr>
          <w:rFonts w:hint="eastAsia" w:ascii="黑体" w:hAnsi="黑体" w:eastAsia="黑体" w:cs="黑体"/>
          <w:kern w:val="6"/>
          <w:sz w:val="32"/>
          <w:szCs w:val="32"/>
          <w:lang w:val="en-US" w:eastAsia="zh-CN"/>
        </w:rPr>
        <w:t>一、</w:t>
      </w:r>
      <w:r>
        <w:rPr>
          <w:rFonts w:hint="eastAsia" w:ascii="黑体" w:hAnsi="黑体" w:eastAsia="黑体" w:cs="黑体"/>
          <w:kern w:val="6"/>
          <w:sz w:val="32"/>
          <w:szCs w:val="32"/>
        </w:rPr>
        <w:t>工作目标</w:t>
      </w:r>
    </w:p>
    <w:p w14:paraId="691DAB41">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进一步规范和加强学校资产精细化管理，提高固定资产清查效率，</w:t>
      </w:r>
      <w:r>
        <w:rPr>
          <w:rFonts w:hint="eastAsia" w:ascii="仿宋_GB2312" w:hAnsi="宋体" w:eastAsia="仿宋_GB2312"/>
          <w:kern w:val="6"/>
          <w:sz w:val="32"/>
          <w:szCs w:val="32"/>
          <w:lang w:val="en-US" w:eastAsia="zh-CN"/>
        </w:rPr>
        <w:t>为</w:t>
      </w:r>
      <w:r>
        <w:rPr>
          <w:rFonts w:hint="eastAsia" w:ascii="仿宋_GB2312" w:hAnsi="宋体" w:eastAsia="仿宋_GB2312"/>
          <w:kern w:val="6"/>
          <w:sz w:val="32"/>
          <w:szCs w:val="32"/>
        </w:rPr>
        <w:t>2</w:t>
      </w:r>
      <w:r>
        <w:rPr>
          <w:rFonts w:ascii="仿宋_GB2312" w:hAnsi="宋体" w:eastAsia="仿宋_GB2312"/>
          <w:kern w:val="6"/>
          <w:sz w:val="32"/>
          <w:szCs w:val="32"/>
        </w:rPr>
        <w:t>026</w:t>
      </w:r>
      <w:r>
        <w:rPr>
          <w:rFonts w:hint="eastAsia" w:ascii="仿宋_GB2312" w:hAnsi="宋体" w:eastAsia="仿宋_GB2312"/>
          <w:kern w:val="6"/>
          <w:sz w:val="32"/>
          <w:szCs w:val="32"/>
        </w:rPr>
        <w:t>年</w:t>
      </w:r>
      <w:r>
        <w:rPr>
          <w:rFonts w:hint="eastAsia" w:ascii="仿宋_GB2312" w:hAnsi="宋体" w:eastAsia="仿宋_GB2312"/>
          <w:kern w:val="6"/>
          <w:sz w:val="32"/>
          <w:szCs w:val="32"/>
          <w:lang w:val="en-US" w:eastAsia="zh-CN"/>
        </w:rPr>
        <w:t>计划</w:t>
      </w:r>
      <w:r>
        <w:rPr>
          <w:rFonts w:hint="eastAsia" w:ascii="仿宋_GB2312" w:hAnsi="宋体" w:eastAsia="仿宋_GB2312"/>
          <w:kern w:val="6"/>
          <w:sz w:val="32"/>
          <w:szCs w:val="32"/>
        </w:rPr>
        <w:t>启用线上清查模块</w:t>
      </w:r>
      <w:r>
        <w:rPr>
          <w:rFonts w:hint="eastAsia" w:ascii="仿宋_GB2312" w:hAnsi="宋体" w:eastAsia="仿宋_GB2312"/>
          <w:kern w:val="6"/>
          <w:sz w:val="32"/>
          <w:szCs w:val="32"/>
          <w:lang w:val="en-US" w:eastAsia="zh-CN"/>
        </w:rPr>
        <w:t>奠定数据基础</w:t>
      </w:r>
      <w:r>
        <w:rPr>
          <w:rFonts w:hint="eastAsia" w:ascii="仿宋_GB2312" w:hAnsi="宋体" w:eastAsia="仿宋_GB2312"/>
          <w:kern w:val="6"/>
          <w:sz w:val="32"/>
          <w:szCs w:val="32"/>
        </w:rPr>
        <w:t>。本次清查各部门单位需进一步线下梳理摸清家底，加强账物核实，落实责任到人的制度，及时准确掌握资产使用变动状况，提高基础数据的准确性与完整性，为资产的高效利用提供数据支撑。</w:t>
      </w:r>
    </w:p>
    <w:p w14:paraId="7066E09E">
      <w:pPr>
        <w:pStyle w:val="9"/>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kern w:val="6"/>
          <w:sz w:val="32"/>
          <w:szCs w:val="32"/>
        </w:rPr>
      </w:pPr>
      <w:r>
        <w:rPr>
          <w:rFonts w:hint="eastAsia" w:ascii="黑体" w:hAnsi="黑体" w:eastAsia="黑体" w:cs="黑体"/>
          <w:kern w:val="6"/>
          <w:sz w:val="32"/>
          <w:szCs w:val="32"/>
          <w:lang w:val="en-US" w:eastAsia="zh-CN"/>
        </w:rPr>
        <w:t>二、</w:t>
      </w:r>
      <w:r>
        <w:rPr>
          <w:rFonts w:hint="eastAsia" w:ascii="黑体" w:hAnsi="黑体" w:eastAsia="黑体" w:cs="黑体"/>
          <w:kern w:val="6"/>
          <w:sz w:val="32"/>
          <w:szCs w:val="32"/>
        </w:rPr>
        <w:t>清查范围和基准日</w:t>
      </w:r>
    </w:p>
    <w:p w14:paraId="5718DE95">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各归口管理单位、部门已入账的固定资产和无形资产，包含大校和独立账户资产（校医院、饮食服务中心和廊坊分校）；以2</w:t>
      </w:r>
      <w:r>
        <w:rPr>
          <w:rFonts w:ascii="仿宋_GB2312" w:hAnsi="宋体" w:eastAsia="仿宋_GB2312"/>
          <w:kern w:val="6"/>
          <w:sz w:val="32"/>
          <w:szCs w:val="32"/>
        </w:rPr>
        <w:t>025</w:t>
      </w:r>
      <w:r>
        <w:rPr>
          <w:rFonts w:hint="eastAsia" w:ascii="仿宋_GB2312" w:hAnsi="宋体" w:eastAsia="仿宋_GB2312"/>
          <w:kern w:val="6"/>
          <w:sz w:val="32"/>
          <w:szCs w:val="32"/>
        </w:rPr>
        <w:t>年</w:t>
      </w:r>
      <w:r>
        <w:rPr>
          <w:rFonts w:ascii="仿宋_GB2312" w:hAnsi="宋体" w:eastAsia="仿宋_GB2312"/>
          <w:kern w:val="6"/>
          <w:sz w:val="32"/>
          <w:szCs w:val="32"/>
        </w:rPr>
        <w:t>11</w:t>
      </w:r>
      <w:r>
        <w:rPr>
          <w:rFonts w:hint="eastAsia" w:ascii="仿宋_GB2312" w:hAnsi="宋体" w:eastAsia="仿宋_GB2312"/>
          <w:kern w:val="6"/>
          <w:sz w:val="32"/>
          <w:szCs w:val="32"/>
        </w:rPr>
        <w:t>月3</w:t>
      </w:r>
      <w:r>
        <w:rPr>
          <w:rFonts w:ascii="仿宋_GB2312" w:hAnsi="宋体" w:eastAsia="仿宋_GB2312"/>
          <w:kern w:val="6"/>
          <w:sz w:val="32"/>
          <w:szCs w:val="32"/>
        </w:rPr>
        <w:t>0</w:t>
      </w:r>
      <w:r>
        <w:rPr>
          <w:rFonts w:hint="eastAsia" w:ascii="仿宋_GB2312" w:hAnsi="宋体" w:eastAsia="仿宋_GB2312"/>
          <w:kern w:val="6"/>
          <w:sz w:val="32"/>
          <w:szCs w:val="32"/>
        </w:rPr>
        <w:t>日作为核查基准日。</w:t>
      </w:r>
    </w:p>
    <w:p w14:paraId="5EAE4793">
      <w:pPr>
        <w:pStyle w:val="9"/>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kern w:val="6"/>
          <w:sz w:val="32"/>
          <w:szCs w:val="32"/>
        </w:rPr>
      </w:pPr>
      <w:r>
        <w:rPr>
          <w:rFonts w:hint="eastAsia" w:ascii="黑体" w:hAnsi="黑体" w:eastAsia="黑体" w:cs="黑体"/>
          <w:kern w:val="6"/>
          <w:sz w:val="32"/>
          <w:szCs w:val="32"/>
          <w:lang w:val="en-US" w:eastAsia="zh-CN"/>
        </w:rPr>
        <w:t>三、</w:t>
      </w:r>
      <w:r>
        <w:rPr>
          <w:rFonts w:hint="eastAsia" w:ascii="黑体" w:hAnsi="黑体" w:eastAsia="黑体" w:cs="黑体"/>
          <w:kern w:val="6"/>
          <w:sz w:val="32"/>
          <w:szCs w:val="32"/>
        </w:rPr>
        <w:t>工作安排</w:t>
      </w:r>
    </w:p>
    <w:p w14:paraId="2C6DB69F">
      <w:pPr>
        <w:pStyle w:val="9"/>
        <w:keepNext w:val="0"/>
        <w:keepLines w:val="0"/>
        <w:pageBreakBefore w:val="0"/>
        <w:widowControl/>
        <w:numPr>
          <w:numId w:val="0"/>
        </w:numPr>
        <w:kinsoku/>
        <w:wordWrap/>
        <w:overflowPunct/>
        <w:topLinePunct w:val="0"/>
        <w:autoSpaceDE/>
        <w:autoSpaceDN/>
        <w:bidi w:val="0"/>
        <w:adjustRightInd/>
        <w:snapToGrid/>
        <w:spacing w:line="580" w:lineRule="exact"/>
        <w:ind w:left="480" w:leftChars="0"/>
        <w:textAlignment w:val="auto"/>
        <w:rPr>
          <w:rFonts w:hint="eastAsia" w:ascii="方正楷体_GB2312" w:hAnsi="方正楷体_GB2312" w:eastAsia="方正楷体_GB2312" w:cs="方正楷体_GB2312"/>
          <w:kern w:val="6"/>
          <w:sz w:val="32"/>
          <w:szCs w:val="32"/>
        </w:rPr>
      </w:pPr>
      <w:r>
        <w:rPr>
          <w:rFonts w:hint="eastAsia" w:ascii="方正楷体_GB2312" w:hAnsi="方正楷体_GB2312" w:eastAsia="方正楷体_GB2312" w:cs="方正楷体_GB2312"/>
          <w:kern w:val="6"/>
          <w:sz w:val="32"/>
          <w:szCs w:val="32"/>
          <w:lang w:eastAsia="zh-CN"/>
        </w:rPr>
        <w:t>（</w:t>
      </w:r>
      <w:r>
        <w:rPr>
          <w:rFonts w:hint="eastAsia" w:ascii="方正楷体_GB2312" w:hAnsi="方正楷体_GB2312" w:eastAsia="方正楷体_GB2312" w:cs="方正楷体_GB2312"/>
          <w:kern w:val="6"/>
          <w:sz w:val="32"/>
          <w:szCs w:val="32"/>
          <w:lang w:val="en-US" w:eastAsia="zh-CN"/>
        </w:rPr>
        <w:t>一）</w:t>
      </w:r>
      <w:r>
        <w:rPr>
          <w:rFonts w:hint="eastAsia" w:ascii="方正楷体_GB2312" w:hAnsi="方正楷体_GB2312" w:eastAsia="方正楷体_GB2312" w:cs="方正楷体_GB2312"/>
          <w:kern w:val="6"/>
          <w:sz w:val="32"/>
          <w:szCs w:val="32"/>
        </w:rPr>
        <w:t>自查阶段（</w:t>
      </w:r>
      <w:r>
        <w:rPr>
          <w:rFonts w:hint="eastAsia" w:ascii="方正楷体_GB2312" w:hAnsi="方正楷体_GB2312" w:eastAsia="方正楷体_GB2312" w:cs="方正楷体_GB2312"/>
          <w:kern w:val="6"/>
          <w:sz w:val="32"/>
          <w:szCs w:val="32"/>
          <w:lang w:val="en-US" w:eastAsia="zh-CN"/>
        </w:rPr>
        <w:t>即日起</w:t>
      </w:r>
      <w:r>
        <w:rPr>
          <w:rFonts w:hint="eastAsia" w:ascii="方正楷体_GB2312" w:hAnsi="方正楷体_GB2312" w:eastAsia="方正楷体_GB2312" w:cs="方正楷体_GB2312"/>
          <w:kern w:val="6"/>
          <w:sz w:val="32"/>
          <w:szCs w:val="32"/>
        </w:rPr>
        <w:t>-2026年3月15日）</w:t>
      </w:r>
    </w:p>
    <w:p w14:paraId="3ADA6B45">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1</w:t>
      </w:r>
      <w:r>
        <w:rPr>
          <w:rFonts w:hint="eastAsia" w:ascii="仿宋_GB2312" w:hAnsi="宋体" w:eastAsia="仿宋_GB2312"/>
          <w:kern w:val="6"/>
          <w:sz w:val="32"/>
          <w:szCs w:val="32"/>
        </w:rPr>
        <w:t>、各单位、部门教职员工登录固定资产系统，核实个人名下资产，做到账物一致，资产所属部门、存放地点信息准确，没有标签的及时进行补打并粘贴。</w:t>
      </w:r>
    </w:p>
    <w:p w14:paraId="016CEA45">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2、如发现不属于个人名下资产的，告知管理员共同进行核查，并可联系资产与实验室管理处进行原始档案查询，追根溯源，确认无误后及时在系统进行资产调拨（领用人、使用单位以及存放地点）。已在固定资产系统提交的在途调拨业务，及时查看进度跟踪进程，完成审批流程。新升级固定资产系统使用及调拨流程参见附件</w:t>
      </w:r>
      <w:r>
        <w:rPr>
          <w:rFonts w:ascii="仿宋_GB2312" w:hAnsi="宋体" w:eastAsia="仿宋_GB2312"/>
          <w:kern w:val="6"/>
          <w:sz w:val="32"/>
          <w:szCs w:val="32"/>
        </w:rPr>
        <w:t>1</w:t>
      </w:r>
      <w:r>
        <w:rPr>
          <w:rFonts w:hint="eastAsia" w:ascii="仿宋_GB2312" w:hAnsi="宋体" w:eastAsia="仿宋_GB2312"/>
          <w:kern w:val="6"/>
          <w:sz w:val="32"/>
          <w:szCs w:val="32"/>
        </w:rPr>
        <w:t>。</w:t>
      </w:r>
    </w:p>
    <w:p w14:paraId="7E7A2DFC">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3</w:t>
      </w:r>
      <w:r>
        <w:rPr>
          <w:rFonts w:hint="eastAsia" w:ascii="仿宋_GB2312" w:hAnsi="宋体" w:eastAsia="仿宋_GB2312"/>
          <w:kern w:val="6"/>
          <w:sz w:val="32"/>
          <w:szCs w:val="32"/>
        </w:rPr>
        <w:t>、根据《河北工业大学通用办公设备及家具配置标准》，如发现本单位行政用资产超出配置标准的，及时在固定资产系统作项目变动，变更使用方向。</w:t>
      </w:r>
    </w:p>
    <w:p w14:paraId="2BBE1D95">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4</w:t>
      </w:r>
      <w:r>
        <w:rPr>
          <w:rFonts w:hint="eastAsia" w:ascii="仿宋_GB2312" w:hAnsi="宋体" w:eastAsia="仿宋_GB2312"/>
          <w:kern w:val="6"/>
          <w:sz w:val="32"/>
          <w:szCs w:val="32"/>
        </w:rPr>
        <w:t>、清查出的闲置、低效运转资产，优化考虑校内调剂，可以将资产调剂至固定资产系统公物仓模块展示，具体流程参见已发通知附件2。</w:t>
      </w:r>
    </w:p>
    <w:p w14:paraId="6C73A614">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5</w:t>
      </w:r>
      <w:r>
        <w:rPr>
          <w:rFonts w:hint="eastAsia" w:ascii="仿宋_GB2312" w:hAnsi="宋体" w:eastAsia="仿宋_GB2312"/>
          <w:kern w:val="6"/>
          <w:sz w:val="32"/>
          <w:szCs w:val="32"/>
        </w:rPr>
        <w:t>、岗位调动导致人员所在部门变动不及时的情况，在完成个人名下资产工作核实后，及时联系资产与实验室管理处或统一报送给部门管理员进行人员所在部门的变动，以防影响资产正常上账工作。重点核实已退休和临近退休人员名下资产（设备和房屋）占用情况，完成资产变动。</w:t>
      </w:r>
    </w:p>
    <w:p w14:paraId="03612A85">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6</w:t>
      </w:r>
      <w:r>
        <w:rPr>
          <w:rFonts w:hint="eastAsia" w:ascii="仿宋_GB2312" w:hAnsi="宋体" w:eastAsia="仿宋_GB2312"/>
          <w:kern w:val="6"/>
          <w:sz w:val="32"/>
          <w:szCs w:val="32"/>
        </w:rPr>
        <w:t>、核查资产达到使用年限且不能继续使用的，可按要求提交报废处置。</w:t>
      </w:r>
    </w:p>
    <w:p w14:paraId="00AE4A73">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7</w:t>
      </w:r>
      <w:r>
        <w:rPr>
          <w:rFonts w:hint="eastAsia" w:ascii="仿宋_GB2312" w:hAnsi="宋体" w:eastAsia="仿宋_GB2312"/>
          <w:kern w:val="6"/>
          <w:sz w:val="32"/>
          <w:szCs w:val="32"/>
        </w:rPr>
        <w:t>、核实有物无账的，填写附件</w:t>
      </w:r>
      <w:r>
        <w:rPr>
          <w:rFonts w:ascii="仿宋_GB2312" w:hAnsi="宋体" w:eastAsia="仿宋_GB2312"/>
          <w:kern w:val="6"/>
          <w:sz w:val="32"/>
          <w:szCs w:val="32"/>
        </w:rPr>
        <w:t>3</w:t>
      </w:r>
      <w:r>
        <w:rPr>
          <w:rFonts w:hint="eastAsia" w:ascii="仿宋_GB2312" w:hAnsi="宋体" w:eastAsia="仿宋_GB2312"/>
          <w:kern w:val="6"/>
          <w:sz w:val="32"/>
          <w:szCs w:val="32"/>
        </w:rPr>
        <w:t>《行政事业单位固定资产盘盈单》并上报资产与实验室管理处。</w:t>
      </w:r>
    </w:p>
    <w:p w14:paraId="11FAC011">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固定资产盘盈根据固定资产盘点单、盘盈情况说明、盘盈价值确定依据（同类资产的市场价格、类似资产的购买合同、发票或竣工决算资料）等进行认定。</w:t>
      </w:r>
    </w:p>
    <w:p w14:paraId="1A093CB1">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8</w:t>
      </w:r>
      <w:r>
        <w:rPr>
          <w:rFonts w:hint="eastAsia" w:ascii="仿宋_GB2312" w:hAnsi="宋体" w:eastAsia="仿宋_GB2312"/>
          <w:kern w:val="6"/>
          <w:sz w:val="32"/>
          <w:szCs w:val="32"/>
        </w:rPr>
        <w:t>、核实有账无物的，填写附件</w:t>
      </w:r>
      <w:r>
        <w:rPr>
          <w:rFonts w:ascii="仿宋_GB2312" w:hAnsi="宋体" w:eastAsia="仿宋_GB2312"/>
          <w:kern w:val="6"/>
          <w:sz w:val="32"/>
          <w:szCs w:val="32"/>
        </w:rPr>
        <w:t>4</w:t>
      </w:r>
      <w:r>
        <w:rPr>
          <w:rFonts w:hint="eastAsia" w:ascii="仿宋_GB2312" w:hAnsi="宋体" w:eastAsia="仿宋_GB2312"/>
          <w:kern w:val="6"/>
          <w:sz w:val="32"/>
          <w:szCs w:val="32"/>
        </w:rPr>
        <w:t>《行政事业单位固定资产盘亏单》并上报资产与实验室管理处。</w:t>
      </w:r>
    </w:p>
    <w:p w14:paraId="294C834B">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盘亏原因为盘亏（丢失）或毁损的，需提供根据《河北工业大学仪器设备损坏丢失赔偿办法》进行的赔偿责任认定说明与单位部门内部说明文件，第三方机构出具的经济鉴定证明，国家有关技术鉴定部门或者具有技术鉴定资格的第三方机构出具的技术鉴定说明。</w:t>
      </w:r>
    </w:p>
    <w:p w14:paraId="33C8F79F">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盘亏原因为被盗的，需要提供公安机关出具的结案证明；盘亏原因为不可抗力因素（自然灾害、意外事故）造成毁损的，需要提供相关部门出具的受灾证明、事故处理报告、车辆报损证明、房屋拆除证明等。</w:t>
      </w:r>
    </w:p>
    <w:p w14:paraId="4E8D23FE">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盘亏原因为其他的（资产重复上账、横向资产上账、高值易耗品上账等），需要出具相应证明材料，核实无误后上报资产与实验室管理处。</w:t>
      </w:r>
    </w:p>
    <w:p w14:paraId="31C65614">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资产盘亏上报资产</w:t>
      </w:r>
      <w:r>
        <w:rPr>
          <w:rFonts w:ascii="仿宋_GB2312" w:hAnsi="宋体" w:eastAsia="仿宋_GB2312"/>
          <w:kern w:val="6"/>
          <w:sz w:val="32"/>
          <w:szCs w:val="32"/>
        </w:rPr>
        <w:t>应当逐项清理，取得合法证据后，对损失项目及金额按照规定进行认定。对已取得具有法律效力的外部证据，而无法确定损失金额的，根据社会中介机构出具的经济鉴</w:t>
      </w:r>
      <w:r>
        <w:rPr>
          <w:rFonts w:hint="eastAsia" w:ascii="仿宋_GB2312" w:hAnsi="宋体" w:eastAsia="仿宋_GB2312"/>
          <w:kern w:val="6"/>
          <w:sz w:val="32"/>
          <w:szCs w:val="32"/>
        </w:rPr>
        <w:t>定</w:t>
      </w:r>
      <w:r>
        <w:rPr>
          <w:rFonts w:ascii="仿宋_GB2312" w:hAnsi="宋体" w:eastAsia="仿宋_GB2312"/>
          <w:kern w:val="6"/>
          <w:sz w:val="32"/>
          <w:szCs w:val="32"/>
        </w:rPr>
        <w:t>证明进行认定</w:t>
      </w:r>
      <w:r>
        <w:rPr>
          <w:rFonts w:hint="eastAsia" w:ascii="仿宋_GB2312" w:hAnsi="宋体" w:eastAsia="仿宋_GB2312"/>
          <w:kern w:val="6"/>
          <w:sz w:val="32"/>
          <w:szCs w:val="32"/>
        </w:rPr>
        <w:t>后，单位提出处理意见，资产与实验室汇总上报省教育厅审核，省财政厅审批，财政厅批准后核销。</w:t>
      </w:r>
    </w:p>
    <w:p w14:paraId="1A23BB29">
      <w:pPr>
        <w:keepNext w:val="0"/>
        <w:keepLines w:val="0"/>
        <w:pageBreakBefore w:val="0"/>
        <w:kinsoku/>
        <w:wordWrap/>
        <w:overflowPunct/>
        <w:topLinePunct w:val="0"/>
        <w:autoSpaceDE/>
        <w:autoSpaceDN/>
        <w:bidi w:val="0"/>
        <w:adjustRightInd/>
        <w:snapToGrid/>
        <w:spacing w:line="580" w:lineRule="exact"/>
        <w:ind w:firstLine="585"/>
        <w:textAlignment w:val="auto"/>
        <w:rPr>
          <w:rFonts w:hint="eastAsia" w:ascii="方正楷体_GB2312" w:hAnsi="方正楷体_GB2312" w:eastAsia="方正楷体_GB2312" w:cs="方正楷体_GB2312"/>
        </w:rPr>
      </w:pPr>
      <w:r>
        <w:rPr>
          <w:rFonts w:hint="eastAsia" w:ascii="方正楷体_GB2312" w:hAnsi="方正楷体_GB2312" w:eastAsia="方正楷体_GB2312" w:cs="方正楷体_GB2312"/>
          <w:kern w:val="6"/>
          <w:sz w:val="32"/>
          <w:szCs w:val="32"/>
        </w:rPr>
        <w:t>（二）汇总阶段（2025年3月16日-4月1日）</w:t>
      </w:r>
    </w:p>
    <w:p w14:paraId="20F0EE5F">
      <w:pPr>
        <w:keepNext w:val="0"/>
        <w:keepLines w:val="0"/>
        <w:pageBreakBefore w:val="0"/>
        <w:kinsoku/>
        <w:wordWrap/>
        <w:overflowPunct/>
        <w:topLinePunct w:val="0"/>
        <w:autoSpaceDE/>
        <w:autoSpaceDN/>
        <w:bidi w:val="0"/>
        <w:adjustRightInd/>
        <w:snapToGrid/>
        <w:spacing w:line="580" w:lineRule="exact"/>
        <w:ind w:firstLine="585"/>
        <w:textAlignment w:val="auto"/>
        <w:rPr>
          <w:rFonts w:ascii="仿宋_GB2312" w:hAnsi="宋体" w:eastAsia="仿宋_GB2312"/>
          <w:kern w:val="6"/>
          <w:sz w:val="32"/>
          <w:szCs w:val="32"/>
        </w:rPr>
      </w:pPr>
      <w:r>
        <w:rPr>
          <w:rFonts w:hint="eastAsia" w:ascii="仿宋_GB2312" w:hAnsi="宋体" w:eastAsia="仿宋_GB2312"/>
          <w:kern w:val="6"/>
          <w:sz w:val="32"/>
          <w:szCs w:val="32"/>
        </w:rPr>
        <w:t>汇总各单位、部门盘亏盘盈材料，针对清查中发现的问题，逐一梳理，并督促单位部门进行整改，不断完善相关管理制度和提高资产使用效益。</w:t>
      </w:r>
    </w:p>
    <w:p w14:paraId="0C393383">
      <w:pPr>
        <w:pStyle w:val="9"/>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kern w:val="6"/>
          <w:sz w:val="32"/>
          <w:szCs w:val="32"/>
        </w:rPr>
      </w:pPr>
      <w:r>
        <w:rPr>
          <w:rFonts w:hint="eastAsia" w:ascii="黑体" w:hAnsi="黑体" w:eastAsia="黑体" w:cs="黑体"/>
          <w:kern w:val="6"/>
          <w:sz w:val="32"/>
          <w:szCs w:val="32"/>
          <w:lang w:val="en-US" w:eastAsia="zh-CN"/>
        </w:rPr>
        <w:t>四、</w:t>
      </w:r>
      <w:r>
        <w:rPr>
          <w:rFonts w:hint="eastAsia" w:ascii="黑体" w:hAnsi="黑体" w:eastAsia="黑体" w:cs="黑体"/>
          <w:kern w:val="6"/>
          <w:sz w:val="32"/>
          <w:szCs w:val="32"/>
        </w:rPr>
        <w:t>工作要求</w:t>
      </w:r>
    </w:p>
    <w:p w14:paraId="35545B4D">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1、</w:t>
      </w:r>
      <w:r>
        <w:rPr>
          <w:rFonts w:hint="eastAsia" w:ascii="仿宋_GB2312" w:hAnsi="宋体" w:eastAsia="仿宋_GB2312"/>
          <w:kern w:val="6"/>
          <w:sz w:val="32"/>
          <w:szCs w:val="32"/>
          <w:lang w:val="en-US" w:eastAsia="zh-CN"/>
        </w:rPr>
        <w:t>2026年计划</w:t>
      </w:r>
      <w:r>
        <w:rPr>
          <w:rFonts w:hint="eastAsia" w:ascii="仿宋_GB2312" w:hAnsi="宋体" w:eastAsia="仿宋_GB2312"/>
          <w:kern w:val="6"/>
          <w:sz w:val="32"/>
          <w:szCs w:val="32"/>
        </w:rPr>
        <w:t>启用线上清查模块，流程与操作比较严格，请各单位部门高度重视本次线下清查，明确分工，积极配合，管理员及时督促老师核实名下资产信息，并做好汇总工作，对于不属于本人或部门单位名下的资产及时进行调拨。</w:t>
      </w:r>
    </w:p>
    <w:p w14:paraId="5F4BB4C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ascii="仿宋_GB2312" w:hAnsi="宋体" w:eastAsia="仿宋_GB2312"/>
          <w:kern w:val="6"/>
          <w:sz w:val="32"/>
          <w:szCs w:val="32"/>
        </w:rPr>
        <w:t>2</w:t>
      </w:r>
      <w:r>
        <w:rPr>
          <w:rFonts w:hint="eastAsia" w:ascii="仿宋_GB2312" w:hAnsi="宋体" w:eastAsia="仿宋_GB2312"/>
          <w:kern w:val="6"/>
          <w:sz w:val="32"/>
          <w:szCs w:val="32"/>
        </w:rPr>
        <w:t>、各部门单位在清查盘点工作中要坚持实事求是的原则，对自查阶段发现的问题要及时自查自纠，并逐项完成相应整改。</w:t>
      </w:r>
    </w:p>
    <w:p w14:paraId="21FDBFFC">
      <w:pPr>
        <w:keepNext w:val="0"/>
        <w:keepLines w:val="0"/>
        <w:pageBreakBefore w:val="0"/>
        <w:kinsoku/>
        <w:wordWrap/>
        <w:overflowPunct/>
        <w:topLinePunct w:val="0"/>
        <w:autoSpaceDE/>
        <w:autoSpaceDN/>
        <w:bidi w:val="0"/>
        <w:adjustRightInd/>
        <w:snapToGrid/>
        <w:spacing w:line="580" w:lineRule="exact"/>
        <w:ind w:firstLine="585"/>
        <w:textAlignment w:val="auto"/>
        <w:rPr>
          <w:rFonts w:ascii="仿宋_GB2312" w:hAnsi="宋体" w:eastAsia="仿宋_GB2312"/>
          <w:kern w:val="6"/>
          <w:sz w:val="32"/>
          <w:szCs w:val="32"/>
        </w:rPr>
      </w:pPr>
      <w:r>
        <w:rPr>
          <w:rFonts w:hint="eastAsia" w:ascii="仿宋_GB2312" w:hAnsi="宋体" w:eastAsia="仿宋_GB2312"/>
          <w:kern w:val="6"/>
          <w:sz w:val="32"/>
          <w:szCs w:val="32"/>
        </w:rPr>
        <w:t>联系人：崔羽 曹翠瑶  联系电话：6</w:t>
      </w:r>
      <w:r>
        <w:rPr>
          <w:rFonts w:ascii="仿宋_GB2312" w:hAnsi="宋体" w:eastAsia="仿宋_GB2312"/>
          <w:kern w:val="6"/>
          <w:sz w:val="32"/>
          <w:szCs w:val="32"/>
        </w:rPr>
        <w:t>0438414</w:t>
      </w:r>
      <w:r>
        <w:rPr>
          <w:rFonts w:hint="eastAsia" w:ascii="仿宋_GB2312" w:hAnsi="宋体" w:eastAsia="仿宋_GB2312"/>
          <w:kern w:val="6"/>
          <w:sz w:val="32"/>
          <w:szCs w:val="32"/>
        </w:rPr>
        <w:t>或</w:t>
      </w:r>
      <w:r>
        <w:rPr>
          <w:rFonts w:hint="eastAsia" w:ascii="仿宋_GB2312" w:hAnsi="宋体" w:eastAsia="仿宋_GB2312"/>
          <w:kern w:val="6"/>
          <w:sz w:val="32"/>
          <w:szCs w:val="32"/>
          <w:lang w:val="en-US" w:eastAsia="zh-CN"/>
        </w:rPr>
        <w:t>W</w:t>
      </w:r>
      <w:r>
        <w:rPr>
          <w:rFonts w:hint="eastAsia" w:ascii="仿宋_GB2312" w:hAnsi="宋体" w:eastAsia="仿宋_GB2312"/>
          <w:kern w:val="6"/>
          <w:sz w:val="32"/>
          <w:szCs w:val="32"/>
        </w:rPr>
        <w:t>elink</w:t>
      </w:r>
    </w:p>
    <w:p w14:paraId="5DC94C6C">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p>
    <w:p w14:paraId="0B053855">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ascii="仿宋_GB2312" w:hAnsi="宋体" w:eastAsia="仿宋_GB2312"/>
          <w:kern w:val="6"/>
          <w:sz w:val="32"/>
          <w:szCs w:val="32"/>
        </w:rPr>
      </w:pPr>
      <w:r>
        <w:rPr>
          <w:rFonts w:hint="eastAsia" w:ascii="仿宋_GB2312" w:hAnsi="宋体" w:eastAsia="仿宋_GB2312"/>
          <w:kern w:val="6"/>
          <w:sz w:val="32"/>
          <w:szCs w:val="32"/>
        </w:rPr>
        <w:t>附件</w:t>
      </w:r>
      <w:r>
        <w:rPr>
          <w:rFonts w:hint="eastAsia" w:ascii="仿宋_GB2312" w:hAnsi="宋体" w:eastAsia="仿宋_GB2312"/>
          <w:kern w:val="6"/>
          <w:sz w:val="32"/>
          <w:szCs w:val="32"/>
          <w:lang w:eastAsia="zh-CN"/>
        </w:rPr>
        <w:t>：</w:t>
      </w:r>
      <w:r>
        <w:rPr>
          <w:rFonts w:ascii="仿宋_GB2312" w:hAnsi="宋体" w:eastAsia="仿宋_GB2312"/>
          <w:kern w:val="6"/>
          <w:sz w:val="32"/>
          <w:szCs w:val="32"/>
        </w:rPr>
        <w:t>1</w:t>
      </w:r>
      <w:r>
        <w:rPr>
          <w:rFonts w:hint="eastAsia" w:ascii="仿宋_GB2312" w:hAnsi="宋体" w:eastAsia="仿宋_GB2312"/>
          <w:kern w:val="6"/>
          <w:sz w:val="32"/>
          <w:szCs w:val="32"/>
          <w:lang w:val="en-US" w:eastAsia="zh-CN"/>
        </w:rPr>
        <w:t>.</w:t>
      </w:r>
      <w:r>
        <w:rPr>
          <w:rFonts w:hint="eastAsia" w:ascii="仿宋_GB2312" w:hAnsi="宋体" w:eastAsia="仿宋_GB2312"/>
          <w:kern w:val="6"/>
          <w:sz w:val="32"/>
          <w:szCs w:val="32"/>
        </w:rPr>
        <w:t>系统上账调拨流程</w:t>
      </w:r>
    </w:p>
    <w:p w14:paraId="5E08B6C4">
      <w:pPr>
        <w:keepNext w:val="0"/>
        <w:keepLines w:val="0"/>
        <w:pageBreakBefore w:val="0"/>
        <w:kinsoku/>
        <w:wordWrap/>
        <w:overflowPunct/>
        <w:topLinePunct w:val="0"/>
        <w:autoSpaceDE/>
        <w:autoSpaceDN/>
        <w:bidi w:val="0"/>
        <w:adjustRightInd/>
        <w:snapToGrid/>
        <w:spacing w:line="580" w:lineRule="exact"/>
        <w:ind w:firstLine="1600" w:firstLineChars="500"/>
        <w:textAlignment w:val="auto"/>
        <w:rPr>
          <w:rFonts w:ascii="仿宋_GB2312" w:hAnsi="宋体" w:eastAsia="仿宋_GB2312"/>
          <w:kern w:val="6"/>
          <w:sz w:val="32"/>
          <w:szCs w:val="32"/>
        </w:rPr>
      </w:pPr>
      <w:r>
        <w:rPr>
          <w:rFonts w:ascii="仿宋_GB2312" w:hAnsi="宋体" w:eastAsia="仿宋_GB2312"/>
          <w:kern w:val="6"/>
          <w:sz w:val="32"/>
          <w:szCs w:val="32"/>
        </w:rPr>
        <w:t>2</w:t>
      </w:r>
      <w:r>
        <w:rPr>
          <w:rFonts w:hint="eastAsia" w:ascii="仿宋_GB2312" w:hAnsi="宋体" w:eastAsia="仿宋_GB2312"/>
          <w:kern w:val="6"/>
          <w:sz w:val="32"/>
          <w:szCs w:val="32"/>
          <w:lang w:val="en-US" w:eastAsia="zh-CN"/>
        </w:rPr>
        <w:t>.关于</w:t>
      </w:r>
      <w:r>
        <w:rPr>
          <w:rFonts w:hint="eastAsia" w:ascii="仿宋_GB2312" w:hAnsi="宋体" w:eastAsia="仿宋_GB2312"/>
          <w:kern w:val="6"/>
          <w:sz w:val="32"/>
          <w:szCs w:val="32"/>
        </w:rPr>
        <w:t>启用校内资产调剂共享平台的通知</w:t>
      </w:r>
    </w:p>
    <w:p w14:paraId="15424055">
      <w:pPr>
        <w:keepNext w:val="0"/>
        <w:keepLines w:val="0"/>
        <w:pageBreakBefore w:val="0"/>
        <w:kinsoku/>
        <w:wordWrap/>
        <w:overflowPunct/>
        <w:topLinePunct w:val="0"/>
        <w:autoSpaceDE/>
        <w:autoSpaceDN/>
        <w:bidi w:val="0"/>
        <w:adjustRightInd/>
        <w:snapToGrid/>
        <w:spacing w:line="580" w:lineRule="exact"/>
        <w:ind w:firstLine="1600" w:firstLineChars="500"/>
        <w:textAlignment w:val="auto"/>
        <w:rPr>
          <w:rFonts w:ascii="仿宋_GB2312" w:hAnsi="宋体" w:eastAsia="仿宋_GB2312"/>
          <w:kern w:val="6"/>
          <w:sz w:val="32"/>
          <w:szCs w:val="32"/>
        </w:rPr>
      </w:pPr>
      <w:r>
        <w:rPr>
          <w:rFonts w:ascii="仿宋_GB2312" w:hAnsi="宋体" w:eastAsia="仿宋_GB2312"/>
          <w:kern w:val="6"/>
          <w:sz w:val="32"/>
          <w:szCs w:val="32"/>
        </w:rPr>
        <w:t>3</w:t>
      </w:r>
      <w:r>
        <w:rPr>
          <w:rFonts w:hint="eastAsia" w:ascii="仿宋_GB2312" w:hAnsi="宋体" w:eastAsia="仿宋_GB2312"/>
          <w:kern w:val="6"/>
          <w:sz w:val="32"/>
          <w:szCs w:val="32"/>
          <w:lang w:val="en-US" w:eastAsia="zh-CN"/>
        </w:rPr>
        <w:t>.</w:t>
      </w:r>
      <w:r>
        <w:rPr>
          <w:rFonts w:hint="eastAsia" w:ascii="仿宋_GB2312" w:hAnsi="宋体" w:eastAsia="仿宋_GB2312"/>
          <w:kern w:val="6"/>
          <w:sz w:val="32"/>
          <w:szCs w:val="32"/>
        </w:rPr>
        <w:t>《行政事业单位固定资产盘盈单》</w:t>
      </w:r>
    </w:p>
    <w:p w14:paraId="6E2A3782">
      <w:pPr>
        <w:keepNext w:val="0"/>
        <w:keepLines w:val="0"/>
        <w:pageBreakBefore w:val="0"/>
        <w:kinsoku/>
        <w:wordWrap/>
        <w:overflowPunct/>
        <w:topLinePunct w:val="0"/>
        <w:autoSpaceDE/>
        <w:autoSpaceDN/>
        <w:bidi w:val="0"/>
        <w:adjustRightInd/>
        <w:snapToGrid/>
        <w:spacing w:line="580" w:lineRule="exact"/>
        <w:ind w:firstLine="1600" w:firstLineChars="500"/>
        <w:textAlignment w:val="auto"/>
        <w:rPr>
          <w:rFonts w:ascii="仿宋_GB2312" w:hAnsi="宋体" w:eastAsia="仿宋_GB2312"/>
          <w:kern w:val="6"/>
          <w:sz w:val="32"/>
          <w:szCs w:val="32"/>
        </w:rPr>
      </w:pPr>
      <w:r>
        <w:rPr>
          <w:rFonts w:ascii="仿宋_GB2312" w:hAnsi="宋体" w:eastAsia="仿宋_GB2312"/>
          <w:kern w:val="6"/>
          <w:sz w:val="32"/>
          <w:szCs w:val="32"/>
        </w:rPr>
        <w:t>4</w:t>
      </w:r>
      <w:r>
        <w:rPr>
          <w:rFonts w:hint="eastAsia" w:ascii="仿宋_GB2312" w:hAnsi="宋体" w:eastAsia="仿宋_GB2312"/>
          <w:kern w:val="6"/>
          <w:sz w:val="32"/>
          <w:szCs w:val="32"/>
          <w:lang w:val="en-US" w:eastAsia="zh-CN"/>
        </w:rPr>
        <w:t>.</w:t>
      </w:r>
      <w:bookmarkStart w:id="0" w:name="_GoBack"/>
      <w:bookmarkEnd w:id="0"/>
      <w:r>
        <w:rPr>
          <w:rFonts w:hint="eastAsia" w:ascii="仿宋_GB2312" w:hAnsi="宋体" w:eastAsia="仿宋_GB2312"/>
          <w:kern w:val="6"/>
          <w:sz w:val="32"/>
          <w:szCs w:val="32"/>
        </w:rPr>
        <w:t>《行政事业单位固定资产盘亏单》</w:t>
      </w:r>
    </w:p>
    <w:p w14:paraId="78E52D08">
      <w:pPr>
        <w:keepNext w:val="0"/>
        <w:keepLines w:val="0"/>
        <w:pageBreakBefore w:val="0"/>
        <w:kinsoku/>
        <w:wordWrap/>
        <w:overflowPunct/>
        <w:topLinePunct w:val="0"/>
        <w:autoSpaceDE/>
        <w:autoSpaceDN/>
        <w:bidi w:val="0"/>
        <w:adjustRightInd/>
        <w:snapToGrid/>
        <w:spacing w:line="580" w:lineRule="exact"/>
        <w:textAlignment w:val="auto"/>
      </w:pPr>
    </w:p>
    <w:p w14:paraId="2EE0FE87">
      <w:pPr>
        <w:keepNext w:val="0"/>
        <w:keepLines w:val="0"/>
        <w:pageBreakBefore w:val="0"/>
        <w:kinsoku/>
        <w:wordWrap/>
        <w:overflowPunct/>
        <w:topLinePunct w:val="0"/>
        <w:autoSpaceDE/>
        <w:autoSpaceDN/>
        <w:bidi w:val="0"/>
        <w:adjustRightInd/>
        <w:snapToGrid/>
        <w:spacing w:line="580" w:lineRule="exact"/>
        <w:textAlignment w:val="auto"/>
      </w:pPr>
    </w:p>
    <w:p w14:paraId="6BF85C2D">
      <w:pPr>
        <w:keepNext w:val="0"/>
        <w:keepLines w:val="0"/>
        <w:pageBreakBefore w:val="0"/>
        <w:kinsoku/>
        <w:wordWrap/>
        <w:overflowPunct/>
        <w:topLinePunct w:val="0"/>
        <w:autoSpaceDE/>
        <w:autoSpaceDN/>
        <w:bidi w:val="0"/>
        <w:adjustRightInd/>
        <w:snapToGrid/>
        <w:spacing w:line="580" w:lineRule="exact"/>
        <w:jc w:val="right"/>
        <w:textAlignment w:val="auto"/>
        <w:rPr>
          <w:rFonts w:ascii="仿宋_GB2312" w:hAnsi="宋体" w:eastAsia="仿宋_GB2312"/>
          <w:kern w:val="6"/>
          <w:sz w:val="32"/>
          <w:szCs w:val="32"/>
        </w:rPr>
      </w:pPr>
      <w:r>
        <w:rPr>
          <w:rFonts w:hint="eastAsia"/>
        </w:rPr>
        <w:t xml:space="preserve"> </w:t>
      </w:r>
      <w:r>
        <w:t xml:space="preserve">                                                  </w:t>
      </w:r>
      <w:r>
        <w:rPr>
          <w:rFonts w:hint="eastAsia" w:ascii="仿宋_GB2312" w:hAnsi="宋体" w:eastAsia="仿宋_GB2312"/>
          <w:kern w:val="6"/>
          <w:sz w:val="32"/>
          <w:szCs w:val="32"/>
        </w:rPr>
        <w:t>资产与实验室管理处</w:t>
      </w:r>
      <w:r>
        <w:rPr>
          <w:rFonts w:hint="eastAsia" w:ascii="仿宋_GB2312" w:hAnsi="宋体" w:eastAsia="仿宋_GB2312"/>
          <w:kern w:val="6"/>
          <w:sz w:val="32"/>
          <w:szCs w:val="32"/>
          <w:lang w:val="en-US" w:eastAsia="zh-CN"/>
        </w:rPr>
        <w:t xml:space="preserve">  </w:t>
      </w:r>
      <w:r>
        <w:rPr>
          <w:rFonts w:ascii="仿宋_GB2312" w:hAnsi="宋体" w:eastAsia="仿宋_GB2312"/>
          <w:kern w:val="6"/>
          <w:sz w:val="32"/>
          <w:szCs w:val="32"/>
        </w:rPr>
        <w:t>2025</w:t>
      </w:r>
      <w:r>
        <w:rPr>
          <w:rFonts w:hint="eastAsia" w:ascii="仿宋_GB2312" w:hAnsi="宋体" w:eastAsia="仿宋_GB2312"/>
          <w:kern w:val="6"/>
          <w:sz w:val="32"/>
          <w:szCs w:val="32"/>
        </w:rPr>
        <w:t>年</w:t>
      </w:r>
      <w:r>
        <w:rPr>
          <w:rFonts w:ascii="仿宋_GB2312" w:hAnsi="宋体" w:eastAsia="仿宋_GB2312"/>
          <w:kern w:val="6"/>
          <w:sz w:val="32"/>
          <w:szCs w:val="32"/>
        </w:rPr>
        <w:t>12</w:t>
      </w:r>
      <w:r>
        <w:rPr>
          <w:rFonts w:hint="eastAsia" w:ascii="仿宋_GB2312" w:hAnsi="宋体" w:eastAsia="仿宋_GB2312"/>
          <w:kern w:val="6"/>
          <w:sz w:val="32"/>
          <w:szCs w:val="32"/>
        </w:rPr>
        <w:t>月</w:t>
      </w:r>
      <w:r>
        <w:rPr>
          <w:rFonts w:hint="eastAsia" w:ascii="仿宋_GB2312" w:hAnsi="宋体" w:eastAsia="仿宋_GB2312"/>
          <w:kern w:val="6"/>
          <w:sz w:val="32"/>
          <w:szCs w:val="32"/>
          <w:lang w:val="en-US" w:eastAsia="zh-CN"/>
        </w:rPr>
        <w:t>10</w:t>
      </w:r>
      <w:r>
        <w:rPr>
          <w:rFonts w:hint="eastAsia" w:ascii="仿宋_GB2312" w:hAnsi="宋体" w:eastAsia="仿宋_GB2312"/>
          <w:kern w:val="6"/>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20652C-F585-453F-8E2F-BC2E2FA263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082D10E4-782A-4B70-935A-9C57C5E6A0B7}"/>
  </w:font>
  <w:font w:name="方正小标宋简体">
    <w:panose1 w:val="03000509000000000000"/>
    <w:charset w:val="86"/>
    <w:family w:val="auto"/>
    <w:pitch w:val="default"/>
    <w:sig w:usb0="00000001" w:usb1="080E0000" w:usb2="00000000" w:usb3="00000000" w:csb0="00040000" w:csb1="00000000"/>
    <w:embedRegular r:id="rId3" w:fontKey="{0574FF5E-F0C9-4252-9EDC-ADDB70565C40}"/>
  </w:font>
  <w:font w:name="仿宋_GB2312">
    <w:panose1 w:val="02010609030101010101"/>
    <w:charset w:val="86"/>
    <w:family w:val="modern"/>
    <w:pitch w:val="default"/>
    <w:sig w:usb0="00000001" w:usb1="080E0000" w:usb2="00000000" w:usb3="00000000" w:csb0="00040000" w:csb1="00000000"/>
    <w:embedRegular r:id="rId4" w:fontKey="{5C3F0BDB-98B8-4C80-9A3F-05C0472368D9}"/>
  </w:font>
  <w:font w:name="方正楷体_GB2312">
    <w:panose1 w:val="02000000000000000000"/>
    <w:charset w:val="86"/>
    <w:family w:val="auto"/>
    <w:pitch w:val="default"/>
    <w:sig w:usb0="A00002BF" w:usb1="184F6CFA" w:usb2="00000012" w:usb3="00000000" w:csb0="00040001" w:csb1="00000000"/>
    <w:embedRegular r:id="rId5" w:fontKey="{3DF33FAB-CF8A-4C9B-A9E6-47EB2D34BC4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E1"/>
    <w:rsid w:val="0000582C"/>
    <w:rsid w:val="0002395D"/>
    <w:rsid w:val="00036318"/>
    <w:rsid w:val="00083E19"/>
    <w:rsid w:val="000A0C3B"/>
    <w:rsid w:val="00116595"/>
    <w:rsid w:val="001902CE"/>
    <w:rsid w:val="00192C2A"/>
    <w:rsid w:val="001D5715"/>
    <w:rsid w:val="001F1A8E"/>
    <w:rsid w:val="00207659"/>
    <w:rsid w:val="00220D22"/>
    <w:rsid w:val="0026099A"/>
    <w:rsid w:val="0026567D"/>
    <w:rsid w:val="00293FEE"/>
    <w:rsid w:val="002A07F4"/>
    <w:rsid w:val="002A6240"/>
    <w:rsid w:val="002A7A9C"/>
    <w:rsid w:val="00304964"/>
    <w:rsid w:val="0033100F"/>
    <w:rsid w:val="00394757"/>
    <w:rsid w:val="003B0148"/>
    <w:rsid w:val="003C5541"/>
    <w:rsid w:val="003E0626"/>
    <w:rsid w:val="00402DC7"/>
    <w:rsid w:val="00447329"/>
    <w:rsid w:val="00490D6E"/>
    <w:rsid w:val="004B0322"/>
    <w:rsid w:val="004B3B8B"/>
    <w:rsid w:val="004E20C6"/>
    <w:rsid w:val="004E30EF"/>
    <w:rsid w:val="004E5DD1"/>
    <w:rsid w:val="00506F26"/>
    <w:rsid w:val="00515950"/>
    <w:rsid w:val="005931B3"/>
    <w:rsid w:val="005F43A4"/>
    <w:rsid w:val="00604F02"/>
    <w:rsid w:val="00612D8C"/>
    <w:rsid w:val="006228EF"/>
    <w:rsid w:val="006853CC"/>
    <w:rsid w:val="006C0C20"/>
    <w:rsid w:val="006C718D"/>
    <w:rsid w:val="0071434D"/>
    <w:rsid w:val="007331EA"/>
    <w:rsid w:val="00734F95"/>
    <w:rsid w:val="00794A43"/>
    <w:rsid w:val="007A5126"/>
    <w:rsid w:val="007B6845"/>
    <w:rsid w:val="007C54CA"/>
    <w:rsid w:val="007D4483"/>
    <w:rsid w:val="007E181B"/>
    <w:rsid w:val="00802624"/>
    <w:rsid w:val="008941DC"/>
    <w:rsid w:val="008B1640"/>
    <w:rsid w:val="008F74DD"/>
    <w:rsid w:val="00901C26"/>
    <w:rsid w:val="00902FD8"/>
    <w:rsid w:val="00921E98"/>
    <w:rsid w:val="00922944"/>
    <w:rsid w:val="009245EA"/>
    <w:rsid w:val="00935451"/>
    <w:rsid w:val="00940542"/>
    <w:rsid w:val="009850EB"/>
    <w:rsid w:val="009940B6"/>
    <w:rsid w:val="009974F6"/>
    <w:rsid w:val="009B1355"/>
    <w:rsid w:val="009D474A"/>
    <w:rsid w:val="00A345AA"/>
    <w:rsid w:val="00A64063"/>
    <w:rsid w:val="00A71585"/>
    <w:rsid w:val="00AA19D3"/>
    <w:rsid w:val="00AD2781"/>
    <w:rsid w:val="00AE6F56"/>
    <w:rsid w:val="00B13D20"/>
    <w:rsid w:val="00B20D9C"/>
    <w:rsid w:val="00B46919"/>
    <w:rsid w:val="00B67FA0"/>
    <w:rsid w:val="00B75FB5"/>
    <w:rsid w:val="00B81845"/>
    <w:rsid w:val="00BA4186"/>
    <w:rsid w:val="00BB6E21"/>
    <w:rsid w:val="00C05791"/>
    <w:rsid w:val="00C114D6"/>
    <w:rsid w:val="00C826DA"/>
    <w:rsid w:val="00D17C67"/>
    <w:rsid w:val="00D406FB"/>
    <w:rsid w:val="00D43A5B"/>
    <w:rsid w:val="00D54A7D"/>
    <w:rsid w:val="00E003E1"/>
    <w:rsid w:val="00E43DB0"/>
    <w:rsid w:val="00E536D2"/>
    <w:rsid w:val="00E56276"/>
    <w:rsid w:val="00ED6602"/>
    <w:rsid w:val="00ED6DB3"/>
    <w:rsid w:val="00EE30DD"/>
    <w:rsid w:val="00EE622F"/>
    <w:rsid w:val="00EF2767"/>
    <w:rsid w:val="00F1346B"/>
    <w:rsid w:val="00F43028"/>
    <w:rsid w:val="00F667A4"/>
    <w:rsid w:val="00F900F1"/>
    <w:rsid w:val="0C8510A9"/>
    <w:rsid w:val="0FAF3B60"/>
    <w:rsid w:val="0FBC1346"/>
    <w:rsid w:val="10246EEB"/>
    <w:rsid w:val="13A01F41"/>
    <w:rsid w:val="18401F6B"/>
    <w:rsid w:val="1E337F5E"/>
    <w:rsid w:val="21EA1D42"/>
    <w:rsid w:val="2D122913"/>
    <w:rsid w:val="2DA94732"/>
    <w:rsid w:val="2E1F6760"/>
    <w:rsid w:val="2F7259B8"/>
    <w:rsid w:val="31C33C1F"/>
    <w:rsid w:val="347B50F7"/>
    <w:rsid w:val="3B5733E1"/>
    <w:rsid w:val="54952600"/>
    <w:rsid w:val="56893B64"/>
    <w:rsid w:val="59266B6D"/>
    <w:rsid w:val="5B583022"/>
    <w:rsid w:val="5D6F2D03"/>
    <w:rsid w:val="687A05CB"/>
    <w:rsid w:val="6DA71D91"/>
    <w:rsid w:val="6F03131A"/>
    <w:rsid w:val="71184E25"/>
    <w:rsid w:val="716C27FB"/>
    <w:rsid w:val="764710CC"/>
    <w:rsid w:val="78762B5D"/>
    <w:rsid w:val="7CAD0F70"/>
    <w:rsid w:val="7DD54E05"/>
    <w:rsid w:val="7E184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1832</Words>
  <Characters>1900</Characters>
  <Lines>14</Lines>
  <Paragraphs>3</Paragraphs>
  <TotalTime>18</TotalTime>
  <ScaleCrop>false</ScaleCrop>
  <LinksUpToDate>false</LinksUpToDate>
  <CharactersWithSpaces>1958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2023-08-21T07:10:00Z</dcterms:created>
  <dc:creator>user</dc:creator>
  <cp:lastModifiedBy>葛高彬</cp:lastModifiedBy>
  <dcterms:modified xsi:type="dcterms:W3CDTF">2025-12-10T02:36:19Z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eyJoZGlkIjoiMWExNjRkOTYyMjFhYjc5MGEyZjlhM2Q5MzhiYTcwNzgiLCJ1c2VySWQiOiI0NDU5NjEyMjMifQ==</vt:lpwstr>
  </property>
  <property fmtid="{D5CDD505-2E9C-101B-9397-08002B2CF9AE}" pid="3" name="KSOProductBuildVer">
    <vt:lpwstr>2052-12.1.0.24034</vt:lpwstr>
  </property>
  <property fmtid="{D5CDD505-2E9C-101B-9397-08002B2CF9AE}" pid="4" name="ICV">
    <vt:lpwstr>AF95EF16ED4C48349C0DA08AE0B46CFF_12</vt:lpwstr>
  </property>
</Properties>
</file>