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19B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关于加强实验室安全管理工作的提示</w:t>
      </w:r>
    </w:p>
    <w:p w14:paraId="47A655B4">
      <w:pPr>
        <w:keepNext w:val="0"/>
        <w:keepLines w:val="0"/>
        <w:pageBreakBefore w:val="0"/>
        <w:widowControl w:val="0"/>
        <w:kinsoku/>
        <w:wordWrap/>
        <w:overflowPunct/>
        <w:topLinePunct w:val="0"/>
        <w:autoSpaceDE/>
        <w:autoSpaceDN/>
        <w:bidi w:val="0"/>
        <w:adjustRightInd/>
        <w:snapToGrid/>
        <w:spacing w:line="580" w:lineRule="exact"/>
        <w:ind w:left="1890" w:leftChars="900" w:firstLine="1767" w:firstLineChars="400"/>
        <w:textAlignment w:val="auto"/>
        <w:rPr>
          <w:rFonts w:ascii="仿宋_GB2312" w:hAnsi="仿宋_GB2312" w:eastAsia="仿宋_GB2312" w:cs="仿宋_GB2312"/>
          <w:b/>
          <w:bCs/>
          <w:sz w:val="44"/>
          <w:szCs w:val="44"/>
        </w:rPr>
      </w:pPr>
    </w:p>
    <w:p w14:paraId="6FA1729B">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校内各相关单位、部门：</w:t>
      </w:r>
    </w:p>
    <w:p w14:paraId="47CAE2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为深入贯彻习近平总书记关于安全生产的重要指示精神，落实天津市教委《关于危化品相关实验室安全自查的工作提示》和《</w:t>
      </w:r>
      <w:r>
        <w:rPr>
          <w:rFonts w:ascii="仿宋_GB2312" w:hAnsi="仿宋_GB2312" w:eastAsia="仿宋_GB2312" w:cs="仿宋_GB2312"/>
          <w:sz w:val="32"/>
          <w:szCs w:val="32"/>
        </w:rPr>
        <w:t>2025年安全稳定工作提示》（2025）第26号文件</w:t>
      </w:r>
      <w:r>
        <w:rPr>
          <w:rFonts w:hint="eastAsia" w:ascii="仿宋_GB2312" w:hAnsi="仿宋_GB2312" w:eastAsia="仿宋_GB2312" w:cs="仿宋_GB2312"/>
          <w:sz w:val="32"/>
          <w:szCs w:val="32"/>
        </w:rPr>
        <w:t>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刻汲取近期天津市某企业发生氯气泄漏事故及某高校因临建实验室场所设备老化引发火情等安全事故经验教训，坚决防范和遏制类似安全事故发生，保障师生生命财产安全与校园和谐稳定，现就进一步加强我校实验室安全管理工作提示如下：</w:t>
      </w:r>
    </w:p>
    <w:p w14:paraId="500510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一、提高政治站位，层层压实安全责任</w:t>
      </w:r>
    </w:p>
    <w:p w14:paraId="0BCC23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和部门要高度重视实验室安全工作，清醒认识当前安全形势的严峻性和复杂性，坚决克服麻痹思想和侥幸心理，牢固树立“安全第一、预防为主”的责任意识。各单位主要负责人作为实验室安全第一责任人，须严格履行“党政同责、一岗双责、齐抓共管、失职追责”和“管行业必须管安全、管业务必须管安全”的要求，全面落实主体责任。按照“谁主管、谁负责，谁使用、谁负责”的原则，层层压实各级安全责任，确保覆盖所有岗位和人员，实现安全管理无死角、无盲区。</w:t>
      </w:r>
    </w:p>
    <w:p w14:paraId="674081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二、深化实验室安全检查，彻底整治风险隐患</w:t>
      </w:r>
    </w:p>
    <w:p w14:paraId="634CDC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各单位立即参照相关文件要求，结合通报的事故案例，组织开展一次覆盖所有实验室（含临建、在建实验场所）的全面安全自查自纠工作。重点排查以下方面：</w:t>
      </w:r>
    </w:p>
    <w:p w14:paraId="48ECB0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1.危险化学品管理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严格核查危化品的采购、储存、领用、使用、回收及废弃物处置等全流程管理。重点检查易燃易爆、有毒有害、易制毒</w:t>
      </w:r>
      <w:r>
        <w:rPr>
          <w:rFonts w:hint="eastAsia" w:ascii="仿宋_GB2312" w:hAnsi="仿宋_GB2312" w:eastAsia="仿宋_GB2312" w:cs="仿宋_GB2312"/>
          <w:sz w:val="32"/>
          <w:szCs w:val="32"/>
        </w:rPr>
        <w:t>易</w:t>
      </w:r>
      <w:r>
        <w:rPr>
          <w:rFonts w:ascii="仿宋_GB2312" w:hAnsi="仿宋_GB2312" w:eastAsia="仿宋_GB2312" w:cs="仿宋_GB2312"/>
          <w:sz w:val="32"/>
          <w:szCs w:val="32"/>
        </w:rPr>
        <w:t>制爆化学品是否规范管理，储存场所是否符合安全条件，台账是否清晰准确，</w:t>
      </w:r>
      <w:r>
        <w:rPr>
          <w:rFonts w:hint="eastAsia" w:ascii="仿宋_GB2312" w:hAnsi="仿宋_GB2312" w:eastAsia="仿宋_GB2312" w:cs="仿宋_GB2312"/>
          <w:sz w:val="32"/>
          <w:szCs w:val="32"/>
        </w:rPr>
        <w:t>是否制定</w:t>
      </w:r>
      <w:r>
        <w:rPr>
          <w:rFonts w:ascii="仿宋_GB2312" w:hAnsi="仿宋_GB2312" w:eastAsia="仿宋_GB2312" w:cs="仿宋_GB2312"/>
          <w:sz w:val="32"/>
          <w:szCs w:val="32"/>
        </w:rPr>
        <w:t>应急处置措施。</w:t>
      </w:r>
    </w:p>
    <w:p w14:paraId="22B2C7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实验室危险废弃物管理：实验室危险废弃物，应在实验室划定专区张贴区域标识用专用容器（废液用塑料桶、空玻璃瓶塑料瓶用纸箱、沾染物用塑料袋）收集，按要求分类张贴标签存放。实验室不得将危险废物直接倒入下水道或按照普通垃圾处理。</w:t>
      </w:r>
    </w:p>
    <w:p w14:paraId="0D32B3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气体管理与使用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规范实验用气（特别是易燃易爆、有毒有害气体）的存放与使用，气瓶</w:t>
      </w:r>
      <w:r>
        <w:rPr>
          <w:rFonts w:hint="eastAsia" w:ascii="仿宋_GB2312" w:hAnsi="仿宋_GB2312" w:eastAsia="仿宋_GB2312" w:cs="仿宋_GB2312"/>
          <w:sz w:val="32"/>
          <w:szCs w:val="32"/>
        </w:rPr>
        <w:t>固定</w:t>
      </w:r>
      <w:r>
        <w:rPr>
          <w:rFonts w:ascii="仿宋_GB2312" w:hAnsi="仿宋_GB2312" w:eastAsia="仿宋_GB2312" w:cs="仿宋_GB2312"/>
          <w:sz w:val="32"/>
          <w:szCs w:val="32"/>
        </w:rPr>
        <w:t>，管路定期检漏，</w:t>
      </w:r>
      <w:r>
        <w:rPr>
          <w:rFonts w:hint="eastAsia" w:ascii="仿宋_GB2312" w:hAnsi="仿宋_GB2312" w:eastAsia="仿宋_GB2312" w:cs="仿宋_GB2312"/>
          <w:sz w:val="32"/>
          <w:szCs w:val="32"/>
        </w:rPr>
        <w:t>按时巡检，</w:t>
      </w:r>
      <w:r>
        <w:rPr>
          <w:rFonts w:ascii="仿宋_GB2312" w:hAnsi="仿宋_GB2312" w:eastAsia="仿宋_GB2312" w:cs="仿宋_GB2312"/>
          <w:sz w:val="32"/>
          <w:szCs w:val="32"/>
        </w:rPr>
        <w:t>操作人员熟悉</w:t>
      </w:r>
      <w:r>
        <w:rPr>
          <w:rFonts w:hint="eastAsia" w:ascii="仿宋_GB2312" w:hAnsi="仿宋_GB2312" w:eastAsia="仿宋_GB2312" w:cs="仿宋_GB2312"/>
          <w:sz w:val="32"/>
          <w:szCs w:val="32"/>
        </w:rPr>
        <w:t>掌握</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操作</w:t>
      </w:r>
      <w:r>
        <w:rPr>
          <w:rFonts w:ascii="仿宋_GB2312" w:hAnsi="仿宋_GB2312" w:eastAsia="仿宋_GB2312" w:cs="仿宋_GB2312"/>
          <w:sz w:val="32"/>
          <w:szCs w:val="32"/>
        </w:rPr>
        <w:t>规程。</w:t>
      </w:r>
    </w:p>
    <w:p w14:paraId="2608AF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.实验</w:t>
      </w:r>
      <w:r>
        <w:rPr>
          <w:rFonts w:hint="eastAsia" w:ascii="仿宋_GB2312" w:hAnsi="仿宋_GB2312" w:eastAsia="仿宋_GB2312" w:cs="仿宋_GB2312"/>
          <w:sz w:val="32"/>
          <w:szCs w:val="32"/>
        </w:rPr>
        <w:t>仪器</w:t>
      </w:r>
      <w:r>
        <w:rPr>
          <w:rFonts w:ascii="仿宋_GB2312" w:hAnsi="仿宋_GB2312" w:eastAsia="仿宋_GB2312" w:cs="仿宋_GB2312"/>
          <w:sz w:val="32"/>
          <w:szCs w:val="32"/>
        </w:rPr>
        <w:t>设备安全</w:t>
      </w:r>
      <w:r>
        <w:rPr>
          <w:rFonts w:hint="eastAsia" w:ascii="仿宋_GB2312" w:hAnsi="仿宋_GB2312" w:eastAsia="仿宋_GB2312" w:cs="仿宋_GB2312"/>
          <w:sz w:val="32"/>
          <w:szCs w:val="32"/>
        </w:rPr>
        <w:t>：针对实验室大型仪器设备，实验室负责人应制定标准化操作规程，对学生进行培训考核并签字确认，指导书和预案应张贴上墙或放置在便于取阅处。</w:t>
      </w:r>
      <w:r>
        <w:rPr>
          <w:rFonts w:ascii="仿宋_GB2312" w:hAnsi="仿宋_GB2312" w:eastAsia="仿宋_GB2312" w:cs="仿宋_GB2312"/>
          <w:sz w:val="32"/>
          <w:szCs w:val="32"/>
        </w:rPr>
        <w:t>对实验室所有设备，特别是使用年限较长、频繁运行、高温高压、高转速及涉及危险工艺的设备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进行彻底检查和维护保养。严禁设备“带病运行”，对老化、过期、存在安全隐患的设备要及时维修或更换。</w:t>
      </w:r>
    </w:p>
    <w:p w14:paraId="3C681A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.电气与消防安全：检查实验室电路、配电设施、插座、仪器设备接地等是否符合规范，严禁私拉乱接电线，超负荷用电。确保消防设施器材配备齐全</w:t>
      </w:r>
      <w:r>
        <w:rPr>
          <w:rFonts w:hint="eastAsia" w:ascii="仿宋_GB2312" w:hAnsi="仿宋_GB2312" w:eastAsia="仿宋_GB2312" w:cs="仿宋_GB2312"/>
          <w:sz w:val="32"/>
          <w:szCs w:val="32"/>
        </w:rPr>
        <w:t>并符合规范要求</w:t>
      </w:r>
      <w:r>
        <w:rPr>
          <w:rFonts w:ascii="仿宋_GB2312" w:hAnsi="仿宋_GB2312" w:eastAsia="仿宋_GB2312" w:cs="仿宋_GB2312"/>
          <w:sz w:val="32"/>
          <w:szCs w:val="32"/>
        </w:rPr>
        <w:t>、完好有效，安全通道、疏散通道畅通无阻。</w:t>
      </w:r>
    </w:p>
    <w:p w14:paraId="3DD22C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实验室安全设施</w:t>
      </w:r>
      <w:r>
        <w:rPr>
          <w:rFonts w:ascii="仿宋_GB2312" w:hAnsi="仿宋_GB2312" w:eastAsia="仿宋_GB2312" w:cs="仿宋_GB2312"/>
          <w:sz w:val="32"/>
          <w:szCs w:val="32"/>
        </w:rPr>
        <w:t>与安全防护：检查实验室通风系统（通风橱）</w:t>
      </w:r>
      <w:r>
        <w:rPr>
          <w:rFonts w:hint="eastAsia" w:ascii="仿宋_GB2312" w:hAnsi="仿宋_GB2312" w:eastAsia="仿宋_GB2312" w:cs="仿宋_GB2312"/>
          <w:sz w:val="32"/>
          <w:szCs w:val="32"/>
        </w:rPr>
        <w:t>、喷淋和洗眼器等设施</w:t>
      </w:r>
      <w:r>
        <w:rPr>
          <w:rFonts w:ascii="仿宋_GB2312" w:hAnsi="仿宋_GB2312" w:eastAsia="仿宋_GB2312" w:cs="仿宋_GB2312"/>
          <w:sz w:val="32"/>
          <w:szCs w:val="32"/>
        </w:rPr>
        <w:t>运行状况，确保</w:t>
      </w:r>
      <w:r>
        <w:rPr>
          <w:rFonts w:hint="eastAsia" w:ascii="仿宋_GB2312" w:hAnsi="仿宋_GB2312" w:eastAsia="仿宋_GB2312" w:cs="仿宋_GB2312"/>
          <w:sz w:val="32"/>
          <w:szCs w:val="32"/>
        </w:rPr>
        <w:t>实验室设施</w:t>
      </w:r>
      <w:r>
        <w:rPr>
          <w:rFonts w:ascii="仿宋_GB2312" w:hAnsi="仿宋_GB2312" w:eastAsia="仿宋_GB2312" w:cs="仿宋_GB2312"/>
          <w:sz w:val="32"/>
          <w:szCs w:val="32"/>
        </w:rPr>
        <w:t>符合安全</w:t>
      </w:r>
      <w:r>
        <w:rPr>
          <w:rFonts w:hint="eastAsia" w:ascii="仿宋_GB2312" w:hAnsi="仿宋_GB2312" w:eastAsia="仿宋_GB2312" w:cs="仿宋_GB2312"/>
          <w:sz w:val="32"/>
          <w:szCs w:val="32"/>
        </w:rPr>
        <w:t>条件</w:t>
      </w:r>
      <w:r>
        <w:rPr>
          <w:rFonts w:ascii="仿宋_GB2312" w:hAnsi="仿宋_GB2312" w:eastAsia="仿宋_GB2312" w:cs="仿宋_GB2312"/>
          <w:sz w:val="32"/>
          <w:szCs w:val="32"/>
        </w:rPr>
        <w:t>要求。核查个人防护装备配备与使用情况，规范实验操作流程。</w:t>
      </w:r>
    </w:p>
    <w:p w14:paraId="72BD23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.应急预案与演练：检查各实验室是否制定具有针对性的应急预案，是否配备必要的应急物资，是否定期组织应急演练，确保相关人员熟悉应急处置流程。</w:t>
      </w:r>
    </w:p>
    <w:p w14:paraId="66FDB5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对自查中发现的风险隐患，建立台账，明确整改责任人、整改措施和整改时限，立即进行整改，实行闭环销账管理。对于短期内难以彻底整改的，要制定有效的临时管控措施并限期完成整改。</w:t>
      </w:r>
    </w:p>
    <w:p w14:paraId="43399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三、加强安全教育，提升师生安全防范意识</w:t>
      </w:r>
    </w:p>
    <w:p w14:paraId="463A11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单位要定期组织开展实验室安全知识与技能培训，将事故案例作为警示教育的重要内容，使全体师生充分认识违规操作的严重危害性。特别要加强对新入职教师、新生的安全教育培训与考核，确保其掌握必要的安全基础知识和应急处置能力，牢固树立安全红线意识。</w:t>
      </w:r>
    </w:p>
    <w:p w14:paraId="1D41A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rPr>
      </w:pPr>
      <w:bookmarkStart w:id="0" w:name="OLE_LINK7"/>
      <w:bookmarkStart w:id="1" w:name="OLE_LINK8"/>
      <w:r>
        <w:rPr>
          <w:rFonts w:hint="eastAsia" w:ascii="黑体" w:hAnsi="黑体" w:eastAsia="黑体" w:cs="黑体"/>
          <w:b w:val="0"/>
          <w:bCs/>
          <w:sz w:val="32"/>
          <w:szCs w:val="32"/>
        </w:rPr>
        <w:t>四、强化日常监管，建立长效机制</w:t>
      </w:r>
    </w:p>
    <w:bookmarkEnd w:id="0"/>
    <w:bookmarkEnd w:id="1"/>
    <w:p w14:paraId="7A40A2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单位要持续完善覆盖危险化学品、气体、大型仪器设备、特种设备等重要危险源的全生命周期管理制度，制定高风险实验的操作规程、风险评估与应急预案。严格执行安全巡查与值班值守制度，积极运用信息化手段提升动态监管与预警能力。同时，将安全教育常态化，推动安全规范内化为师生自觉行动，从根本上筑牢安全防线。</w:t>
      </w:r>
    </w:p>
    <w:p w14:paraId="3EEC31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请各单位按照此工作提示，迅速传达落实，立即行动，切实将各项实验室安全管理要求落到实处，共同维护校园安全稳定。</w:t>
      </w:r>
    </w:p>
    <w:p w14:paraId="66ED69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特此提示。</w:t>
      </w:r>
    </w:p>
    <w:p w14:paraId="7BB0C2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08F299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附件：1.关于危化品相关实验室安全自查的工作提示</w:t>
      </w:r>
    </w:p>
    <w:p w14:paraId="1ACF3C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2.2025年安全稳定工作提示</w:t>
      </w:r>
      <w:bookmarkStart w:id="2" w:name="_GoBack"/>
      <w:bookmarkEnd w:id="2"/>
    </w:p>
    <w:p w14:paraId="4B0E687C">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p w14:paraId="4C759F1A">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p w14:paraId="0A09322B">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资产与实验室管理处</w:t>
      </w:r>
    </w:p>
    <w:p w14:paraId="1D10DBB7">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2025</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24</w:t>
      </w:r>
      <w:r>
        <w:rPr>
          <w:rFonts w:ascii="仿宋_GB2312" w:hAnsi="仿宋_GB2312" w:eastAsia="仿宋_GB2312" w:cs="仿宋_GB2312"/>
          <w:sz w:val="32"/>
          <w:szCs w:val="32"/>
        </w:rPr>
        <w:t>日</w:t>
      </w:r>
    </w:p>
    <w:p w14:paraId="558A89C3">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p w14:paraId="3E5ECBF2">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p w14:paraId="0499A4DF">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p w14:paraId="76CD2780">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p w14:paraId="15746C79">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4"/>
    <w:rsid w:val="00036729"/>
    <w:rsid w:val="000C16FC"/>
    <w:rsid w:val="00114DA7"/>
    <w:rsid w:val="00156B41"/>
    <w:rsid w:val="00165A0C"/>
    <w:rsid w:val="001828C1"/>
    <w:rsid w:val="001B23D7"/>
    <w:rsid w:val="001B7F11"/>
    <w:rsid w:val="002425A5"/>
    <w:rsid w:val="002D0122"/>
    <w:rsid w:val="00354964"/>
    <w:rsid w:val="003560BE"/>
    <w:rsid w:val="003B11EB"/>
    <w:rsid w:val="00465E80"/>
    <w:rsid w:val="0066716A"/>
    <w:rsid w:val="006C05ED"/>
    <w:rsid w:val="006C7041"/>
    <w:rsid w:val="00807AD6"/>
    <w:rsid w:val="00865FBF"/>
    <w:rsid w:val="008C70BE"/>
    <w:rsid w:val="00930C12"/>
    <w:rsid w:val="009541DF"/>
    <w:rsid w:val="009737F4"/>
    <w:rsid w:val="009856A5"/>
    <w:rsid w:val="00BB0213"/>
    <w:rsid w:val="00C205C4"/>
    <w:rsid w:val="00C57DC8"/>
    <w:rsid w:val="00CB10D3"/>
    <w:rsid w:val="00CE49A4"/>
    <w:rsid w:val="00D1287B"/>
    <w:rsid w:val="00D534DD"/>
    <w:rsid w:val="00DB2106"/>
    <w:rsid w:val="00F0394F"/>
    <w:rsid w:val="00F13670"/>
    <w:rsid w:val="14FA6244"/>
    <w:rsid w:val="55A7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日期 字符"/>
    <w:basedOn w:val="7"/>
    <w:link w:val="2"/>
    <w:semiHidden/>
    <w:uiPriority w:val="99"/>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1687</Words>
  <Characters>1706</Characters>
  <Lines>12</Lines>
  <Paragraphs>3</Paragraphs>
  <TotalTime>167</TotalTime>
  <ScaleCrop>false</ScaleCrop>
  <LinksUpToDate>false</LinksUpToDate>
  <CharactersWithSpaces>1706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2025-11-24T02:23:00Z</dcterms:created>
  <dc:creator>user</dc:creator>
  <cp:lastModifiedBy>葛高彬</cp:lastModifiedBy>
  <dcterms:modified xsi:type="dcterms:W3CDTF">2025-11-24T06:01:14Z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2052-12.1.0.23542</vt:lpwstr>
  </property>
  <property fmtid="{D5CDD505-2E9C-101B-9397-08002B2CF9AE}" pid="4" name="ICV">
    <vt:lpwstr>C39B007DDBD040DB9C9CAF9EC5248856_12</vt:lpwstr>
  </property>
</Properties>
</file>