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</w:pPr>
      <w:r>
        <w:rPr>
          <w:rFonts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发布</w:t>
      </w:r>
      <w:r>
        <w:rPr>
          <w:rFonts w:ascii="方正小标宋简体" w:eastAsia="方正小标宋简体"/>
          <w:sz w:val="44"/>
          <w:szCs w:val="44"/>
        </w:rPr>
        <w:t>《河北工业大学 2024 年度国有资产盘活工作实施方案》的通知</w:t>
      </w:r>
      <w:r>
        <w:t xml:space="preserve">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校内各单位、部门：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为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贯彻</w:t>
      </w:r>
      <w:r>
        <w:rPr>
          <w:rFonts w:ascii="仿宋_GB2312" w:hAnsi="宋体" w:eastAsia="仿宋_GB2312"/>
          <w:kern w:val="6"/>
          <w:sz w:val="32"/>
          <w:szCs w:val="32"/>
        </w:rPr>
        <w:t>落实</w:t>
      </w:r>
      <w:r>
        <w:rPr>
          <w:rFonts w:hint="eastAsia" w:ascii="仿宋_GB2312" w:hAnsi="宋体" w:eastAsia="仿宋_GB2312"/>
          <w:kern w:val="6"/>
          <w:sz w:val="32"/>
          <w:szCs w:val="32"/>
        </w:rPr>
        <w:t>《河北省行政事业性国有资产管理办法》（冀政发〔2023〕</w:t>
      </w:r>
      <w:r>
        <w:rPr>
          <w:rFonts w:ascii="仿宋_GB2312" w:hAnsi="宋体" w:eastAsia="仿宋_GB2312"/>
          <w:kern w:val="6"/>
          <w:sz w:val="32"/>
          <w:szCs w:val="32"/>
        </w:rPr>
        <w:t>7</w:t>
      </w:r>
      <w:r>
        <w:rPr>
          <w:rFonts w:hint="eastAsia" w:ascii="仿宋_GB2312" w:hAnsi="宋体" w:eastAsia="仿宋_GB2312"/>
          <w:kern w:val="6"/>
          <w:sz w:val="32"/>
          <w:szCs w:val="32"/>
        </w:rPr>
        <w:t>号）、《</w:t>
      </w:r>
      <w:r>
        <w:rPr>
          <w:rFonts w:ascii="仿宋_GB2312" w:hAnsi="宋体" w:eastAsia="仿宋_GB2312"/>
          <w:kern w:val="6"/>
          <w:sz w:val="32"/>
          <w:szCs w:val="32"/>
        </w:rPr>
        <w:t>2024年度河北省行政事</w:t>
      </w:r>
      <w:r>
        <w:rPr>
          <w:rFonts w:hint="eastAsia" w:ascii="仿宋_GB2312" w:hAnsi="宋体" w:eastAsia="仿宋_GB2312"/>
          <w:kern w:val="6"/>
          <w:sz w:val="32"/>
          <w:szCs w:val="32"/>
        </w:rPr>
        <w:t>业单位国有资产盘活工作实施方案》（冀财资〔</w:t>
      </w:r>
      <w:r>
        <w:rPr>
          <w:rFonts w:ascii="仿宋_GB2312" w:hAnsi="宋体" w:eastAsia="仿宋_GB2312"/>
          <w:kern w:val="6"/>
          <w:sz w:val="32"/>
          <w:szCs w:val="32"/>
        </w:rPr>
        <w:t>2024〕</w:t>
      </w:r>
      <w:r>
        <w:rPr>
          <w:rFonts w:hint="eastAsia" w:ascii="仿宋_GB2312" w:hAnsi="宋体" w:eastAsia="仿宋_GB2312"/>
          <w:kern w:val="6"/>
          <w:sz w:val="32"/>
          <w:szCs w:val="32"/>
        </w:rPr>
        <w:t>3</w:t>
      </w:r>
      <w:r>
        <w:rPr>
          <w:rFonts w:ascii="仿宋_GB2312" w:hAnsi="宋体" w:eastAsia="仿宋_GB2312"/>
          <w:kern w:val="6"/>
          <w:sz w:val="32"/>
          <w:szCs w:val="32"/>
        </w:rPr>
        <w:t>7号）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有关</w:t>
      </w:r>
      <w:r>
        <w:rPr>
          <w:rFonts w:hint="eastAsia" w:ascii="仿宋_GB2312" w:hAnsi="宋体" w:eastAsia="仿宋_GB2312"/>
          <w:kern w:val="6"/>
          <w:sz w:val="32"/>
          <w:szCs w:val="32"/>
        </w:rPr>
        <w:t>要求</w:t>
      </w:r>
      <w:r>
        <w:rPr>
          <w:rFonts w:hint="eastAsia" w:ascii="仿宋_GB2312" w:hAnsi="宋体" w:eastAsia="仿宋_GB2312"/>
          <w:kern w:val="6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进一步</w:t>
      </w:r>
      <w:r>
        <w:rPr>
          <w:rFonts w:ascii="仿宋_GB2312" w:hAnsi="宋体" w:eastAsia="仿宋_GB2312"/>
          <w:kern w:val="6"/>
          <w:sz w:val="32"/>
          <w:szCs w:val="32"/>
        </w:rPr>
        <w:t>推进我校国有资产盘活工作，切实提高国有资产使用效益，</w:t>
      </w:r>
      <w:r>
        <w:rPr>
          <w:rFonts w:hint="eastAsia" w:ascii="仿宋_GB2312" w:hAnsi="宋体" w:eastAsia="仿宋_GB2312"/>
          <w:kern w:val="6"/>
          <w:sz w:val="32"/>
          <w:szCs w:val="32"/>
        </w:rPr>
        <w:t>结合我校实际，制定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/>
          <w:kern w:val="6"/>
          <w:sz w:val="32"/>
          <w:szCs w:val="32"/>
        </w:rPr>
        <w:t>工作方案。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kern w:val="6"/>
          <w:sz w:val="32"/>
          <w:szCs w:val="32"/>
        </w:rPr>
      </w:pPr>
      <w:r>
        <w:rPr>
          <w:rFonts w:hint="eastAsia" w:ascii="黑体" w:hAnsi="黑体" w:eastAsia="黑体" w:cs="黑体"/>
          <w:kern w:val="6"/>
          <w:sz w:val="32"/>
          <w:szCs w:val="32"/>
        </w:rPr>
        <w:t xml:space="preserve">一、总体要求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kern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</w:rPr>
        <w:t xml:space="preserve">（一）指导思想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以习近平新时代中国特色社会主义思想为指导，深入贯彻党的二十大精神，完整、准确、全面贯彻新发展理念，坚持全面覆盖、分类盘活、实事求是、因地制宜、摸清底数，创新盘活方式，健全工作机制，通过自用、共享、调剂、出租、处置等多种方式，提升资产盘活利用效率，为我校事业发展提供更加坚实的物质基础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kern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</w:rPr>
        <w:t xml:space="preserve">（二）基本原则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1.统筹资源。通过盘活存量资产，推进存量资产充分利用和</w:t>
      </w:r>
      <w:r>
        <w:rPr>
          <w:rFonts w:hint="eastAsia" w:ascii="仿宋_GB2312" w:hAnsi="宋体" w:eastAsia="仿宋_GB2312"/>
          <w:kern w:val="6"/>
          <w:sz w:val="32"/>
          <w:szCs w:val="32"/>
        </w:rPr>
        <w:t>调剂共用，切实提高现有资产使用效益，以存量调控增量，优化闲置配置，推动解决资产重复配置、闲置浪费等问题。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2.全面覆盖。对低效运转、闲置的各类资产全部纳入盘活范</w:t>
      </w:r>
      <w:r>
        <w:rPr>
          <w:rFonts w:hint="eastAsia" w:ascii="仿宋_GB2312" w:hAnsi="宋体" w:eastAsia="仿宋_GB2312"/>
          <w:kern w:val="6"/>
          <w:sz w:val="32"/>
          <w:szCs w:val="32"/>
        </w:rPr>
        <w:t>围，重点是房屋、土地、车辆、办公设备家具、大型仪器设备和软件等资产。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3.因地制宜。结合工作实际，区分资产类别，研究明确盘活</w:t>
      </w:r>
      <w:r>
        <w:rPr>
          <w:rFonts w:hint="eastAsia" w:ascii="仿宋_GB2312" w:hAnsi="宋体" w:eastAsia="仿宋_GB2312"/>
          <w:kern w:val="6"/>
          <w:sz w:val="32"/>
          <w:szCs w:val="32"/>
        </w:rPr>
        <w:t>方式，有针对性地盘活资产，因地制宜探索盘活资产的有效途径，总结提炼相关经验和做法。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4.激励约束。将资产盘活成效与新增资产配置挂钩，通过预</w:t>
      </w:r>
      <w:r>
        <w:rPr>
          <w:rFonts w:hint="eastAsia" w:ascii="仿宋_GB2312" w:hAnsi="宋体" w:eastAsia="仿宋_GB2312"/>
          <w:kern w:val="6"/>
          <w:sz w:val="32"/>
          <w:szCs w:val="32"/>
        </w:rPr>
        <w:t>算推动资产盘活。加强监督检查，全面提升资产盘活积极性。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kern w:val="6"/>
          <w:sz w:val="32"/>
          <w:szCs w:val="32"/>
        </w:rPr>
      </w:pPr>
      <w:r>
        <w:rPr>
          <w:rFonts w:hint="eastAsia" w:ascii="黑体" w:hAnsi="黑体" w:eastAsia="黑体" w:cs="黑体"/>
          <w:kern w:val="6"/>
          <w:sz w:val="32"/>
          <w:szCs w:val="32"/>
        </w:rPr>
        <w:t xml:space="preserve">二、工作任务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kern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</w:rPr>
        <w:t xml:space="preserve">（一）重点范围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房屋、土地、车辆、办公设备家具、大型仪器设备和软件等资产。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kern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</w:rPr>
        <w:t xml:space="preserve">（二）任务分工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根据学校国有资产管理体制，各归口管理单位分工如下：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1.资产与实验室管理处：牵头组织资产盘活工作，制定工作</w:t>
      </w:r>
      <w:r>
        <w:rPr>
          <w:rFonts w:hint="eastAsia" w:ascii="仿宋_GB2312" w:hAnsi="宋体" w:eastAsia="仿宋_GB2312"/>
          <w:kern w:val="6"/>
          <w:sz w:val="32"/>
          <w:szCs w:val="32"/>
        </w:rPr>
        <w:t>通知及方案，组织归口管理部门审核资产盘活材料，完成汇总、上报等工作，负责设备、家具和教学科研用房的盘活工作。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 xml:space="preserve">2.学校办公室：负责车辆资产的盘活工作。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 xml:space="preserve">3.财务处：负责货币资金等流动资产的盘活工作。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4.科学技术研究院、技术转移中心：负责专利权、著作权等</w:t>
      </w:r>
      <w:r>
        <w:rPr>
          <w:rFonts w:hint="eastAsia" w:ascii="仿宋_GB2312" w:hAnsi="宋体" w:eastAsia="仿宋_GB2312"/>
          <w:kern w:val="6"/>
          <w:sz w:val="32"/>
          <w:szCs w:val="32"/>
        </w:rPr>
        <w:t>科技成果类无形资产的盘活工作。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 xml:space="preserve">5.校园建设与管理处：负责土地资产的盘活工作。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6.后勤服务中心：负责后勤服务类、学生生活类、经营性等</w:t>
      </w:r>
      <w:r>
        <w:rPr>
          <w:rFonts w:hint="eastAsia" w:ascii="仿宋_GB2312" w:hAnsi="宋体" w:eastAsia="仿宋_GB2312"/>
          <w:kern w:val="6"/>
          <w:sz w:val="32"/>
          <w:szCs w:val="32"/>
        </w:rPr>
        <w:t>用房及构筑物等资产的盘活工作。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 xml:space="preserve">7.图书馆：负责图书等资产的盘活工作。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8.党委宣传部：负责文物、陈列品及校史馆藏品等资产的盘</w:t>
      </w:r>
      <w:r>
        <w:rPr>
          <w:rFonts w:hint="eastAsia" w:ascii="仿宋_GB2312" w:hAnsi="宋体" w:eastAsia="仿宋_GB2312"/>
          <w:kern w:val="6"/>
          <w:sz w:val="32"/>
          <w:szCs w:val="32"/>
        </w:rPr>
        <w:t>活工作。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9.信息安全与技术服务中心：负责软件、网络信息服务设施</w:t>
      </w:r>
      <w:r>
        <w:rPr>
          <w:rFonts w:hint="eastAsia" w:ascii="仿宋_GB2312" w:hAnsi="宋体" w:eastAsia="仿宋_GB2312"/>
          <w:kern w:val="6"/>
          <w:sz w:val="32"/>
          <w:szCs w:val="32"/>
        </w:rPr>
        <w:t>的盘活工作。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kern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</w:rPr>
        <w:t xml:space="preserve">（三）盘活方式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1.优化</w:t>
      </w:r>
      <w:r>
        <w:rPr>
          <w:rFonts w:hint="eastAsia" w:ascii="仿宋_GB2312" w:hAnsi="宋体" w:eastAsia="仿宋_GB2312"/>
          <w:kern w:val="6"/>
          <w:sz w:val="32"/>
          <w:szCs w:val="32"/>
        </w:rPr>
        <w:t>在用资产管理（内部挖潜）</w:t>
      </w:r>
      <w:r>
        <w:rPr>
          <w:rFonts w:ascii="仿宋_GB2312" w:hAnsi="宋体" w:eastAsia="仿宋_GB2312"/>
          <w:kern w:val="6"/>
          <w:sz w:val="32"/>
          <w:szCs w:val="32"/>
        </w:rPr>
        <w:t>。最大限度发挥在用资产使用价值，以最精简的</w:t>
      </w:r>
      <w:r>
        <w:rPr>
          <w:rFonts w:hint="eastAsia" w:ascii="仿宋_GB2312" w:hAnsi="宋体" w:eastAsia="仿宋_GB2312"/>
          <w:kern w:val="6"/>
          <w:sz w:val="32"/>
          <w:szCs w:val="32"/>
        </w:rPr>
        <w:t>资产保障单位履职和事业发展。全面准确掌握资产使用状况，加强资产配置可行性论证，能够通过现有资产功能挖潜、修旧利废满足业务工作要求的，应当减少配置；到期仍具有使用价值的资产要继续使用，切实做到物尽其用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2.调剂利用。闲置国有资产，优先在本单位内部调剂利用。</w:t>
      </w:r>
      <w:r>
        <w:rPr>
          <w:rFonts w:hint="eastAsia" w:ascii="仿宋_GB2312" w:hAnsi="宋体" w:eastAsia="仿宋_GB2312"/>
          <w:kern w:val="6"/>
          <w:sz w:val="32"/>
          <w:szCs w:val="32"/>
        </w:rPr>
        <w:t>对使用价值大、利用范围广的低效、闲置资产，积极推进跨单位资产调剂。对因技术原因需要更新、但仍具有使用价值的资产，通过转变用途，调剂到技术要求相对较低的单位，最大程度激发资产效能。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3.共享共用。各单位大型科研仪器设备和重大科研基础设施</w:t>
      </w:r>
      <w:r>
        <w:rPr>
          <w:rFonts w:hint="eastAsia" w:ascii="仿宋_GB2312" w:hAnsi="宋体" w:eastAsia="仿宋_GB2312"/>
          <w:kern w:val="6"/>
          <w:sz w:val="32"/>
          <w:szCs w:val="32"/>
        </w:rPr>
        <w:t>建设应纳入学校大型仪器共享平台，通过平台向校内和社会开放共享。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4.出租处置。除国家另有规定外，难以调剂利用的房屋、仪</w:t>
      </w:r>
      <w:r>
        <w:rPr>
          <w:rFonts w:hint="eastAsia" w:ascii="仿宋_GB2312" w:hAnsi="宋体" w:eastAsia="仿宋_GB2312"/>
          <w:kern w:val="6"/>
          <w:sz w:val="32"/>
          <w:szCs w:val="32"/>
        </w:rPr>
        <w:t>器设备等资产，按照规定的权限经上级主管部门批准后，可以对外出租或者处置。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5</w:t>
      </w:r>
      <w:r>
        <w:rPr>
          <w:rFonts w:hint="eastAsia" w:ascii="仿宋_GB2312" w:hAnsi="宋体" w:eastAsia="仿宋_GB2312"/>
          <w:kern w:val="6"/>
          <w:sz w:val="32"/>
          <w:szCs w:val="32"/>
        </w:rPr>
        <w:t>、实施公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物</w:t>
      </w:r>
      <w:r>
        <w:rPr>
          <w:rFonts w:hint="eastAsia" w:ascii="仿宋_GB2312" w:hAnsi="宋体" w:eastAsia="仿宋_GB2312"/>
          <w:kern w:val="6"/>
          <w:sz w:val="32"/>
          <w:szCs w:val="32"/>
        </w:rPr>
        <w:t>仓管理。根据《河北省省级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公物</w:t>
      </w:r>
      <w:r>
        <w:rPr>
          <w:rFonts w:hint="eastAsia" w:ascii="仿宋_GB2312" w:hAnsi="宋体" w:eastAsia="仿宋_GB2312"/>
          <w:kern w:val="6"/>
          <w:sz w:val="32"/>
          <w:szCs w:val="32"/>
        </w:rPr>
        <w:t>仓管理暂行办法》（〔2023〕</w:t>
      </w:r>
      <w:r>
        <w:rPr>
          <w:rFonts w:ascii="仿宋_GB2312" w:hAnsi="宋体" w:eastAsia="仿宋_GB2312"/>
          <w:kern w:val="6"/>
          <w:sz w:val="32"/>
          <w:szCs w:val="32"/>
        </w:rPr>
        <w:t>28</w:t>
      </w:r>
      <w:r>
        <w:rPr>
          <w:rFonts w:hint="eastAsia" w:ascii="仿宋_GB2312" w:hAnsi="宋体" w:eastAsia="仿宋_GB2312"/>
          <w:kern w:val="6"/>
          <w:sz w:val="32"/>
          <w:szCs w:val="32"/>
        </w:rPr>
        <w:t>号）文件规定，鼓励各部门、单位将低效、闲置资产、大型会议（活动）、超标配置或临时机构配置资产等，统一纳入学校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公物仓</w:t>
      </w:r>
      <w:r>
        <w:rPr>
          <w:rFonts w:hint="eastAsia" w:ascii="仿宋_GB2312" w:hAnsi="宋体" w:eastAsia="仿宋_GB2312"/>
          <w:kern w:val="6"/>
          <w:sz w:val="32"/>
          <w:szCs w:val="32"/>
        </w:rPr>
        <w:t>集中管理，调配使用。学校在配置资产时，首</w:t>
      </w:r>
      <w:bookmarkStart w:id="0" w:name="_GoBack"/>
      <w:bookmarkEnd w:id="0"/>
      <w:r>
        <w:rPr>
          <w:rFonts w:hint="eastAsia" w:ascii="仿宋_GB2312" w:hAnsi="宋体" w:eastAsia="仿宋_GB2312"/>
          <w:kern w:val="6"/>
          <w:sz w:val="32"/>
          <w:szCs w:val="32"/>
        </w:rPr>
        <w:t>先从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公物仓</w:t>
      </w:r>
      <w:r>
        <w:rPr>
          <w:rFonts w:hint="eastAsia" w:ascii="仿宋_GB2312" w:hAnsi="宋体" w:eastAsia="仿宋_GB2312"/>
          <w:kern w:val="6"/>
          <w:sz w:val="32"/>
          <w:szCs w:val="32"/>
        </w:rPr>
        <w:t>考虑调剂解决，节约财政资金，优化资源配置。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kern w:val="6"/>
          <w:sz w:val="32"/>
          <w:szCs w:val="32"/>
        </w:rPr>
      </w:pPr>
      <w:r>
        <w:rPr>
          <w:rFonts w:hint="eastAsia" w:ascii="黑体" w:hAnsi="黑体" w:eastAsia="黑体" w:cs="黑体"/>
          <w:kern w:val="6"/>
          <w:sz w:val="32"/>
          <w:szCs w:val="32"/>
        </w:rPr>
        <w:t xml:space="preserve">三、工作步骤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学校国有资产盘活作为持续推进的工作需要长期坚持，本年度共分三个阶段实施：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kern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</w:rPr>
        <w:t xml:space="preserve">（一）全面梳理资产底数（2024年 5月10日前）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各归口管理部门以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2023 年 12 月 31 日为基准日，系统梳理</w:t>
      </w:r>
      <w:r>
        <w:rPr>
          <w:rFonts w:hint="eastAsia" w:ascii="仿宋_GB2312" w:hAnsi="宋体" w:eastAsia="仿宋_GB2312"/>
          <w:kern w:val="6"/>
          <w:sz w:val="32"/>
          <w:szCs w:val="32"/>
        </w:rPr>
        <w:t>资产数量、价值和使用情况，全面摸清资产底数，理清闲置国有资产并准确标注资产使用状态，</w:t>
      </w:r>
      <w:r>
        <w:rPr>
          <w:rFonts w:ascii="仿宋_GB2312" w:hAnsi="宋体" w:eastAsia="仿宋_GB2312"/>
          <w:kern w:val="6"/>
          <w:sz w:val="32"/>
          <w:szCs w:val="32"/>
        </w:rPr>
        <w:t>于2024</w:t>
      </w:r>
      <w:r>
        <w:rPr>
          <w:rFonts w:hint="eastAsia" w:ascii="仿宋_GB2312" w:hAnsi="宋体" w:eastAsia="仿宋_GB2312"/>
          <w:kern w:val="6"/>
          <w:sz w:val="32"/>
          <w:szCs w:val="32"/>
        </w:rPr>
        <w:t>年5</w:t>
      </w:r>
      <w:r>
        <w:rPr>
          <w:rFonts w:ascii="仿宋_GB2312" w:hAnsi="宋体" w:eastAsia="仿宋_GB2312"/>
          <w:kern w:val="6"/>
          <w:sz w:val="32"/>
          <w:szCs w:val="32"/>
        </w:rPr>
        <w:t>月</w:t>
      </w:r>
      <w:r>
        <w:rPr>
          <w:rFonts w:hint="eastAsia" w:ascii="仿宋_GB2312" w:hAnsi="宋体" w:eastAsia="仿宋_GB2312"/>
          <w:kern w:val="6"/>
          <w:sz w:val="32"/>
          <w:szCs w:val="32"/>
        </w:rPr>
        <w:t>1</w:t>
      </w:r>
      <w:r>
        <w:rPr>
          <w:rFonts w:ascii="仿宋_GB2312" w:hAnsi="宋体" w:eastAsia="仿宋_GB2312"/>
          <w:kern w:val="6"/>
          <w:sz w:val="32"/>
          <w:szCs w:val="32"/>
        </w:rPr>
        <w:t>0日前</w:t>
      </w:r>
      <w:r>
        <w:rPr>
          <w:rFonts w:hint="eastAsia" w:ascii="仿宋_GB2312" w:hAnsi="宋体" w:eastAsia="仿宋_GB2312"/>
          <w:kern w:val="6"/>
          <w:sz w:val="32"/>
          <w:szCs w:val="32"/>
        </w:rPr>
        <w:t>填写《行政事业单位国有资产待盘活情况表》（附件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1），</w:t>
      </w:r>
      <w:r>
        <w:rPr>
          <w:rFonts w:hint="eastAsia" w:ascii="仿宋_GB2312" w:hAnsi="宋体" w:eastAsia="仿宋_GB2312"/>
          <w:kern w:val="6"/>
          <w:sz w:val="32"/>
          <w:szCs w:val="32"/>
        </w:rPr>
        <w:t>对于房屋、土地等经济价值较高的闲置资产，填写《行政事业单位国有资产待盘活情况表（重要事项）》（附件2），本部门、地区无法盘活的闲置资产，需要跨部门、跨地区、跨级次调剂的，填写《行政事业单位申请盘活资产情况表》（附件3）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kern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</w:rPr>
        <w:t>（二）有序开展盘活工作（2024年7月1日前和2024年11月10日前）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6"/>
          <w:sz w:val="32"/>
          <w:szCs w:val="32"/>
        </w:rPr>
        <w:t>各归口管理部门负责对照盘活方案，利用各种方式有序组织各二级单位开展资产盘活工作，于2</w:t>
      </w:r>
      <w:r>
        <w:rPr>
          <w:rFonts w:ascii="仿宋_GB2312" w:hAnsi="宋体" w:eastAsia="仿宋_GB2312"/>
          <w:kern w:val="6"/>
          <w:sz w:val="32"/>
          <w:szCs w:val="32"/>
        </w:rPr>
        <w:t>024</w:t>
      </w:r>
      <w:r>
        <w:rPr>
          <w:rFonts w:hint="eastAsia" w:ascii="仿宋_GB2312" w:hAnsi="宋体" w:eastAsia="仿宋_GB2312"/>
          <w:kern w:val="6"/>
          <w:sz w:val="32"/>
          <w:szCs w:val="32"/>
        </w:rPr>
        <w:t>年</w:t>
      </w:r>
      <w:r>
        <w:rPr>
          <w:rFonts w:ascii="仿宋_GB2312" w:hAnsi="宋体" w:eastAsia="仿宋_GB2312"/>
          <w:kern w:val="6"/>
          <w:sz w:val="32"/>
          <w:szCs w:val="32"/>
        </w:rPr>
        <w:t>7</w:t>
      </w:r>
      <w:r>
        <w:rPr>
          <w:rFonts w:hint="eastAsia" w:ascii="仿宋_GB2312" w:hAnsi="宋体" w:eastAsia="仿宋_GB2312"/>
          <w:kern w:val="6"/>
          <w:sz w:val="32"/>
          <w:szCs w:val="32"/>
        </w:rPr>
        <w:t>月1日前填写《行政事业单位国有资产已盘活情况表》（附件4）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6"/>
          <w:sz w:val="32"/>
          <w:szCs w:val="32"/>
        </w:rPr>
        <w:t>，《行政事业单位国有资产已盘活情况表（重要事项）》（附件</w:t>
      </w:r>
      <w:r>
        <w:rPr>
          <w:rFonts w:ascii="仿宋_GB2312" w:hAnsi="宋体" w:eastAsia="仿宋_GB2312"/>
          <w:kern w:val="6"/>
          <w:sz w:val="32"/>
          <w:szCs w:val="32"/>
        </w:rPr>
        <w:t>5</w:t>
      </w:r>
      <w:r>
        <w:rPr>
          <w:rFonts w:hint="eastAsia" w:ascii="仿宋_GB2312" w:hAnsi="宋体" w:eastAsia="仿宋_GB2312"/>
          <w:kern w:val="6"/>
          <w:sz w:val="32"/>
          <w:szCs w:val="32"/>
        </w:rPr>
        <w:t>），上报半年资产盘活情况；于2</w:t>
      </w:r>
      <w:r>
        <w:rPr>
          <w:rFonts w:ascii="仿宋_GB2312" w:hAnsi="宋体" w:eastAsia="仿宋_GB2312"/>
          <w:kern w:val="6"/>
          <w:sz w:val="32"/>
          <w:szCs w:val="32"/>
        </w:rPr>
        <w:t>024</w:t>
      </w:r>
      <w:r>
        <w:rPr>
          <w:rFonts w:hint="eastAsia" w:ascii="仿宋_GB2312" w:hAnsi="宋体" w:eastAsia="仿宋_GB2312"/>
          <w:kern w:val="6"/>
          <w:sz w:val="32"/>
          <w:szCs w:val="32"/>
        </w:rPr>
        <w:t>年1</w:t>
      </w:r>
      <w:r>
        <w:rPr>
          <w:rFonts w:ascii="仿宋_GB2312" w:hAnsi="宋体" w:eastAsia="仿宋_GB2312"/>
          <w:kern w:val="6"/>
          <w:sz w:val="32"/>
          <w:szCs w:val="32"/>
        </w:rPr>
        <w:t>1</w:t>
      </w:r>
      <w:r>
        <w:rPr>
          <w:rFonts w:hint="eastAsia" w:ascii="仿宋_GB2312" w:hAnsi="宋体" w:eastAsia="仿宋_GB2312"/>
          <w:kern w:val="6"/>
          <w:sz w:val="32"/>
          <w:szCs w:val="32"/>
        </w:rPr>
        <w:t>月1</w:t>
      </w:r>
      <w:r>
        <w:rPr>
          <w:rFonts w:ascii="仿宋_GB2312" w:hAnsi="宋体" w:eastAsia="仿宋_GB2312"/>
          <w:kern w:val="6"/>
          <w:sz w:val="32"/>
          <w:szCs w:val="32"/>
        </w:rPr>
        <w:t>0</w:t>
      </w:r>
      <w:r>
        <w:rPr>
          <w:rFonts w:hint="eastAsia" w:ascii="仿宋_GB2312" w:hAnsi="宋体" w:eastAsia="仿宋_GB2312"/>
          <w:kern w:val="6"/>
          <w:sz w:val="32"/>
          <w:szCs w:val="32"/>
        </w:rPr>
        <w:t>日前填写更新后的《行政事业单位国有资产已盘活情况表》（附件4）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6"/>
          <w:sz w:val="32"/>
          <w:szCs w:val="32"/>
        </w:rPr>
        <w:t>，《行政事业单位国有资产已盘活情况表（重要事项）》（附件</w:t>
      </w:r>
      <w:r>
        <w:rPr>
          <w:rFonts w:ascii="仿宋_GB2312" w:hAnsi="宋体" w:eastAsia="仿宋_GB2312"/>
          <w:kern w:val="6"/>
          <w:sz w:val="32"/>
          <w:szCs w:val="32"/>
        </w:rPr>
        <w:t>5</w:t>
      </w:r>
      <w:r>
        <w:rPr>
          <w:rFonts w:hint="eastAsia" w:ascii="仿宋_GB2312" w:hAnsi="宋体" w:eastAsia="仿宋_GB2312"/>
          <w:kern w:val="6"/>
          <w:sz w:val="32"/>
          <w:szCs w:val="32"/>
        </w:rPr>
        <w:t>），上报全年资产盘活情况。同时各归口管理部门总结资产盘活工作开展过程中的经验做法、典型案例和难点问题，总结分管资产盘活工作情况，提出进一步完善制度机制、提高盘活效率效益、建立长效机制等工作思路和措施，形成盘活资产情况报告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联系人：崔羽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6"/>
          <w:sz w:val="32"/>
          <w:szCs w:val="32"/>
        </w:rPr>
        <w:t xml:space="preserve"> 联系电话：</w:t>
      </w:r>
      <w:r>
        <w:rPr>
          <w:rFonts w:ascii="仿宋_GB2312" w:hAnsi="宋体" w:eastAsia="仿宋_GB2312"/>
          <w:kern w:val="6"/>
          <w:sz w:val="32"/>
          <w:szCs w:val="32"/>
        </w:rPr>
        <w:t xml:space="preserve">022-60438414 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附件：</w:t>
      </w:r>
      <w:r>
        <w:rPr>
          <w:rFonts w:ascii="仿宋_GB2312" w:hAnsi="宋体" w:eastAsia="仿宋_GB2312"/>
          <w:kern w:val="6"/>
          <w:sz w:val="32"/>
          <w:szCs w:val="32"/>
        </w:rPr>
        <w:t>1.</w:t>
      </w:r>
      <w:r>
        <w:rPr>
          <w:rFonts w:hint="eastAsia" w:ascii="仿宋_GB2312" w:hAnsi="宋体" w:eastAsia="仿宋_GB2312"/>
          <w:kern w:val="6"/>
          <w:sz w:val="32"/>
          <w:szCs w:val="32"/>
        </w:rPr>
        <w:t>行政事业单位国有资产待盘活情况表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1600" w:firstLineChars="5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2.</w:t>
      </w:r>
      <w:r>
        <w:rPr>
          <w:rFonts w:hint="eastAsia" w:ascii="仿宋_GB2312" w:hAnsi="宋体" w:eastAsia="仿宋_GB2312"/>
          <w:kern w:val="6"/>
          <w:sz w:val="32"/>
          <w:szCs w:val="32"/>
        </w:rPr>
        <w:t>行政事业单位国有资产待盘活情况表（重要事项）</w:t>
      </w:r>
    </w:p>
    <w:p>
      <w:pPr>
        <w:widowControl/>
        <w:adjustRightInd w:val="0"/>
        <w:snapToGrid w:val="0"/>
        <w:spacing w:line="580" w:lineRule="exact"/>
        <w:ind w:firstLine="1600" w:firstLineChars="5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3.</w:t>
      </w:r>
      <w:r>
        <w:rPr>
          <w:rFonts w:hint="eastAsia" w:ascii="仿宋_GB2312" w:hAnsi="宋体" w:eastAsia="仿宋_GB2312"/>
          <w:kern w:val="6"/>
          <w:sz w:val="32"/>
          <w:szCs w:val="32"/>
        </w:rPr>
        <w:t>行政事业单位申请盘活资产情况表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1600" w:firstLineChars="5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4.</w:t>
      </w:r>
      <w:r>
        <w:rPr>
          <w:rFonts w:hint="eastAsia" w:ascii="仿宋_GB2312" w:hAnsi="宋体" w:eastAsia="仿宋_GB2312"/>
          <w:kern w:val="6"/>
          <w:sz w:val="32"/>
          <w:szCs w:val="32"/>
        </w:rPr>
        <w:t>行政事业单位国有资产已盘活情况表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1600" w:firstLineChars="500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5.</w:t>
      </w:r>
      <w:r>
        <w:rPr>
          <w:rFonts w:hint="eastAsia" w:ascii="仿宋_GB2312" w:hAnsi="宋体" w:eastAsia="仿宋_GB2312"/>
          <w:kern w:val="6"/>
          <w:sz w:val="32"/>
          <w:szCs w:val="32"/>
        </w:rPr>
        <w:t>行政事业单位国有资产已盘活情况表（重要事项）</w:t>
      </w:r>
    </w:p>
    <w:p>
      <w:pPr>
        <w:widowControl/>
        <w:adjustRightInd w:val="0"/>
        <w:snapToGrid w:val="0"/>
        <w:spacing w:line="580" w:lineRule="exact"/>
        <w:ind w:firstLine="1600" w:firstLineChars="500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                    资产与实验室管理处</w:t>
      </w:r>
    </w:p>
    <w:p>
      <w:pPr>
        <w:widowControl/>
        <w:adjustRightInd w:val="0"/>
        <w:snapToGrid w:val="0"/>
        <w:spacing w:line="580" w:lineRule="exact"/>
        <w:ind w:firstLine="1600" w:firstLineChars="500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                      2024年4月22日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NjRkOTYyMjFhYjc5MGEyZjlhM2Q5MzhiYTcwNzgifQ=="/>
  </w:docVars>
  <w:rsids>
    <w:rsidRoot w:val="00356410"/>
    <w:rsid w:val="000A0402"/>
    <w:rsid w:val="002245BE"/>
    <w:rsid w:val="002559F8"/>
    <w:rsid w:val="00356410"/>
    <w:rsid w:val="003F7F9F"/>
    <w:rsid w:val="00490C94"/>
    <w:rsid w:val="00522433"/>
    <w:rsid w:val="00586AED"/>
    <w:rsid w:val="006C078C"/>
    <w:rsid w:val="006E34BD"/>
    <w:rsid w:val="0070655E"/>
    <w:rsid w:val="008359A3"/>
    <w:rsid w:val="0094157C"/>
    <w:rsid w:val="00A82A32"/>
    <w:rsid w:val="00AC5B7E"/>
    <w:rsid w:val="00E61453"/>
    <w:rsid w:val="00F44EFE"/>
    <w:rsid w:val="00F92C6E"/>
    <w:rsid w:val="088E5379"/>
    <w:rsid w:val="14894F33"/>
    <w:rsid w:val="1F3B77D8"/>
    <w:rsid w:val="29353F48"/>
    <w:rsid w:val="2C565D60"/>
    <w:rsid w:val="3850453F"/>
    <w:rsid w:val="3DD11BB1"/>
    <w:rsid w:val="45081179"/>
    <w:rsid w:val="4EAD38E3"/>
    <w:rsid w:val="5D387CF9"/>
    <w:rsid w:val="65913BD1"/>
    <w:rsid w:val="6F0F57A7"/>
    <w:rsid w:val="6F7A6A66"/>
    <w:rsid w:val="72345C8F"/>
    <w:rsid w:val="7B494559"/>
    <w:rsid w:val="7BB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2490F8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TML Definition"/>
    <w:basedOn w:val="5"/>
    <w:semiHidden/>
    <w:unhideWhenUsed/>
    <w:uiPriority w:val="99"/>
  </w:style>
  <w:style w:type="character" w:styleId="9">
    <w:name w:val="HTML Variable"/>
    <w:basedOn w:val="5"/>
    <w:semiHidden/>
    <w:unhideWhenUsed/>
    <w:uiPriority w:val="99"/>
  </w:style>
  <w:style w:type="character" w:styleId="10">
    <w:name w:val="Hyperlink"/>
    <w:basedOn w:val="5"/>
    <w:semiHidden/>
    <w:unhideWhenUsed/>
    <w:uiPriority w:val="99"/>
    <w:rPr>
      <w:color w:val="2490F8"/>
      <w:u w:val="none"/>
    </w:rPr>
  </w:style>
  <w:style w:type="character" w:styleId="11">
    <w:name w:val="HTML Code"/>
    <w:basedOn w:val="5"/>
    <w:semiHidden/>
    <w:unhideWhenUsed/>
    <w:uiPriority w:val="99"/>
    <w:rPr>
      <w:rFonts w:ascii="微软雅黑" w:hAnsi="微软雅黑" w:eastAsia="微软雅黑" w:cs="微软雅黑"/>
      <w:sz w:val="18"/>
      <w:szCs w:val="18"/>
    </w:rPr>
  </w:style>
  <w:style w:type="character" w:styleId="12">
    <w:name w:val="HTML Cite"/>
    <w:basedOn w:val="5"/>
    <w:semiHidden/>
    <w:unhideWhenUsed/>
    <w:uiPriority w:val="99"/>
  </w:style>
  <w:style w:type="character" w:customStyle="1" w:styleId="13">
    <w:name w:val="页眉 字符"/>
    <w:basedOn w:val="5"/>
    <w:link w:val="3"/>
    <w:uiPriority w:val="99"/>
    <w:rPr>
      <w:sz w:val="18"/>
      <w:szCs w:val="18"/>
    </w:rPr>
  </w:style>
  <w:style w:type="character" w:customStyle="1" w:styleId="14">
    <w:name w:val="页脚 字符"/>
    <w:basedOn w:val="5"/>
    <w:link w:val="2"/>
    <w:uiPriority w:val="99"/>
    <w:rPr>
      <w:sz w:val="18"/>
      <w:szCs w:val="18"/>
    </w:rPr>
  </w:style>
  <w:style w:type="character" w:customStyle="1" w:styleId="15">
    <w:name w:val="associateddata"/>
    <w:basedOn w:val="5"/>
    <w:uiPriority w:val="0"/>
    <w:rPr>
      <w:shd w:val="clear" w:fill="50A6F9"/>
    </w:rPr>
  </w:style>
  <w:style w:type="character" w:customStyle="1" w:styleId="16">
    <w:name w:val="pagechatarealistclose_box"/>
    <w:basedOn w:val="5"/>
    <w:uiPriority w:val="0"/>
  </w:style>
  <w:style w:type="character" w:customStyle="1" w:styleId="17">
    <w:name w:val="pagechatarealistclose_box1"/>
    <w:basedOn w:val="5"/>
    <w:uiPriority w:val="0"/>
  </w:style>
  <w:style w:type="character" w:customStyle="1" w:styleId="18">
    <w:name w:val="w32"/>
    <w:basedOn w:val="5"/>
    <w:uiPriority w:val="0"/>
  </w:style>
  <w:style w:type="character" w:customStyle="1" w:styleId="19">
    <w:name w:val="first-child"/>
    <w:basedOn w:val="5"/>
    <w:uiPriority w:val="0"/>
  </w:style>
  <w:style w:type="character" w:customStyle="1" w:styleId="20">
    <w:name w:val="ico1656"/>
    <w:basedOn w:val="5"/>
    <w:uiPriority w:val="0"/>
  </w:style>
  <w:style w:type="character" w:customStyle="1" w:styleId="21">
    <w:name w:val="ico1657"/>
    <w:basedOn w:val="5"/>
    <w:uiPriority w:val="0"/>
  </w:style>
  <w:style w:type="character" w:customStyle="1" w:styleId="22">
    <w:name w:val="cy"/>
    <w:basedOn w:val="5"/>
    <w:uiPriority w:val="0"/>
  </w:style>
  <w:style w:type="character" w:customStyle="1" w:styleId="23">
    <w:name w:val="icontext3"/>
    <w:basedOn w:val="5"/>
    <w:uiPriority w:val="0"/>
  </w:style>
  <w:style w:type="character" w:customStyle="1" w:styleId="24">
    <w:name w:val="drapbtn"/>
    <w:basedOn w:val="5"/>
    <w:uiPriority w:val="0"/>
  </w:style>
  <w:style w:type="character" w:customStyle="1" w:styleId="25">
    <w:name w:val="button5"/>
    <w:basedOn w:val="5"/>
    <w:uiPriority w:val="0"/>
  </w:style>
  <w:style w:type="character" w:customStyle="1" w:styleId="26">
    <w:name w:val="after"/>
    <w:basedOn w:val="5"/>
    <w:uiPriority w:val="0"/>
    <w:rPr>
      <w:sz w:val="0"/>
      <w:szCs w:val="0"/>
    </w:rPr>
  </w:style>
  <w:style w:type="character" w:customStyle="1" w:styleId="27">
    <w:name w:val="hilite5"/>
    <w:basedOn w:val="5"/>
    <w:uiPriority w:val="0"/>
    <w:rPr>
      <w:color w:val="FFFFFF"/>
      <w:shd w:val="clear" w:fill="666666"/>
    </w:rPr>
  </w:style>
  <w:style w:type="character" w:customStyle="1" w:styleId="28">
    <w:name w:val="active7"/>
    <w:basedOn w:val="5"/>
    <w:uiPriority w:val="0"/>
    <w:rPr>
      <w:color w:val="00FF00"/>
      <w:shd w:val="clear" w:fill="111111"/>
    </w:rPr>
  </w:style>
  <w:style w:type="character" w:customStyle="1" w:styleId="29">
    <w:name w:val="active8"/>
    <w:basedOn w:val="5"/>
    <w:uiPriority w:val="0"/>
    <w:rPr>
      <w:shd w:val="clear" w:fill="EC3535"/>
    </w:rPr>
  </w:style>
  <w:style w:type="character" w:customStyle="1" w:styleId="30">
    <w:name w:val="iconline2"/>
    <w:basedOn w:val="5"/>
    <w:uiPriority w:val="0"/>
  </w:style>
  <w:style w:type="character" w:customStyle="1" w:styleId="31">
    <w:name w:val="iconline21"/>
    <w:basedOn w:val="5"/>
    <w:uiPriority w:val="0"/>
  </w:style>
  <w:style w:type="character" w:customStyle="1" w:styleId="32">
    <w:name w:val="choosename"/>
    <w:basedOn w:val="5"/>
    <w:uiPriority w:val="0"/>
  </w:style>
  <w:style w:type="character" w:customStyle="1" w:styleId="33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34">
    <w:name w:val="tmpztreemove_arrow"/>
    <w:basedOn w:val="5"/>
    <w:uiPriority w:val="0"/>
  </w:style>
  <w:style w:type="character" w:customStyle="1" w:styleId="35">
    <w:name w:val="hover37"/>
    <w:basedOn w:val="5"/>
    <w:uiPriority w:val="0"/>
    <w:rPr>
      <w:color w:val="FFFFFF"/>
    </w:rPr>
  </w:style>
  <w:style w:type="character" w:customStyle="1" w:styleId="36">
    <w:name w:val="cdropleft"/>
    <w:basedOn w:val="5"/>
    <w:uiPriority w:val="0"/>
  </w:style>
  <w:style w:type="character" w:customStyle="1" w:styleId="37">
    <w:name w:val="cdropright"/>
    <w:basedOn w:val="5"/>
    <w:uiPriority w:val="0"/>
  </w:style>
  <w:style w:type="character" w:customStyle="1" w:styleId="38">
    <w:name w:val="icontext1"/>
    <w:basedOn w:val="5"/>
    <w:uiPriority w:val="0"/>
  </w:style>
  <w:style w:type="character" w:customStyle="1" w:styleId="39">
    <w:name w:val="icontext11"/>
    <w:basedOn w:val="5"/>
    <w:uiPriority w:val="0"/>
  </w:style>
  <w:style w:type="character" w:customStyle="1" w:styleId="40">
    <w:name w:val="icontext12"/>
    <w:basedOn w:val="5"/>
    <w:uiPriority w:val="0"/>
  </w:style>
  <w:style w:type="character" w:customStyle="1" w:styleId="41">
    <w:name w:val="icontext2"/>
    <w:basedOn w:val="5"/>
    <w:uiPriority w:val="0"/>
  </w:style>
  <w:style w:type="character" w:customStyle="1" w:styleId="42">
    <w:name w:val="button1"/>
    <w:basedOn w:val="5"/>
    <w:uiPriority w:val="0"/>
  </w:style>
  <w:style w:type="character" w:customStyle="1" w:styleId="43">
    <w:name w:val="active5"/>
    <w:basedOn w:val="5"/>
    <w:uiPriority w:val="0"/>
    <w:rPr>
      <w:shd w:val="clear" w:fill="EC3535"/>
    </w:rPr>
  </w:style>
  <w:style w:type="character" w:customStyle="1" w:styleId="44">
    <w:name w:val="active6"/>
    <w:basedOn w:val="5"/>
    <w:uiPriority w:val="0"/>
    <w:rPr>
      <w:color w:val="00FF00"/>
      <w:shd w:val="clear" w:fill="111111"/>
    </w:rPr>
  </w:style>
  <w:style w:type="character" w:customStyle="1" w:styleId="45">
    <w:name w:val="hilite6"/>
    <w:basedOn w:val="5"/>
    <w:uiPriority w:val="0"/>
    <w:rPr>
      <w:color w:val="FFFFFF"/>
      <w:shd w:val="clear" w:fill="666666"/>
    </w:rPr>
  </w:style>
  <w:style w:type="character" w:customStyle="1" w:styleId="46">
    <w:name w:val="hover41"/>
    <w:basedOn w:val="5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371</Words>
  <Characters>2116</Characters>
  <Lines>17</Lines>
  <Paragraphs>4</Paragraphs>
  <TotalTime>0</TotalTime>
  <ScaleCrop>false</ScaleCrop>
  <LinksUpToDate>false</LinksUpToDate>
  <CharactersWithSpaces>2483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2024-04-16T05:59:00Z</dcterms:created>
  <dc:creator>user</dc:creator>
  <cp:lastModifiedBy>葛高彬</cp:lastModifiedBy>
  <dcterms:modified xsi:type="dcterms:W3CDTF">2024-04-22T04:01:21Z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120E0FA80FA14DA79DF35ED244095DF9_12</vt:lpwstr>
  </property>
</Properties>
</file>